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9C_439/2019 vom 19. Juli 2019</w:t>
      </w:r>
    </w:p>
    <w:p>
      <w:r>
        <w:t>Bundesgericht, 2019-07-19, DE</w:t>
      </w:r>
    </w:p>
    <w:p>
      <w:r>
        <w:rPr>
          <w:b/>
        </w:rPr>
        <w:t xml:space="preserve">Quelle: </w:t>
      </w:r>
      <w:r>
        <w:t>https://mcp.opencaselaw.ch/entscheid/bger_9C_439_2019</w:t>
      </w:r>
    </w:p>
    <w:p>
      <w:r>
        <w:t>FR: TF 9C_439/2019 du 19 juillet 2019</w:t>
      </w:r>
    </w:p>
    <w:p>
      <w:r>
        <w:t>IT: TF 9C_439/2019 del 19 luglio 2019</w:t>
      </w:r>
    </w:p>
    <w:p>
      <w:pPr>
        <w:pStyle w:val="Heading2"/>
      </w:pPr>
      <w:r>
        <w:t>Volltext</w:t>
      </w:r>
    </w:p>
    <w:p>
      <w:r>
        <w:t>Bundesgericht</w:t>
      </w:r>
    </w:p>
    <w:p>
      <w:r>
        <w:t>Tribunal fédéral</w:t>
      </w:r>
    </w:p>
    <w:p>
      <w:r>
        <w:t>Tribunale federale</w:t>
      </w:r>
    </w:p>
    <w:p>
      <w:r>
        <w:t>Tribunal federal</w:t>
      </w:r>
    </w:p>
    <w:p>
      <w:r>
        <w:t>9C_439/2019</w:t>
      </w:r>
    </w:p>
    <w:p>
      <w:r>
        <w:t>Urteil vom 19. Juli 2019</w:t>
      </w:r>
    </w:p>
    <w:p>
      <w:r>
        <w:t>II. sozialrechtliche Abteilung</w:t>
      </w:r>
    </w:p>
    <w:p>
      <w:r>
        <w:t>Besetzung</w:t>
      </w:r>
    </w:p>
    <w:p>
      <w:r>
        <w:t>Bundesrichterin Pfiffner, Präsidentin,</w:t>
      </w:r>
    </w:p>
    <w:p>
      <w:r>
        <w:t>Gerichtsschreiberin Stanger.</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den Entscheid</w:t>
      </w:r>
    </w:p>
    <w:p>
      <w:r>
        <w:t>des Verwaltungsgerichts des Kantons Bern</w:t>
      </w:r>
    </w:p>
    <w:p>
      <w:r>
        <w:t>vom 9. Mai 2019 (200.19.197 IV).</w:t>
      </w:r>
    </w:p>
    <w:p>
      <w:r>
        <w:t>Nach Einsicht</w:t>
      </w:r>
    </w:p>
    <w:p>
      <w:r>
        <w:t>in die Beschwerde vom 21. Juni 2019 (Poststempel) gegen den Entscheid des Verwaltungsgerichts des Kantons Bern vom 9. Mai 2019 (200.19.197 IV betreffend elektronisches Bikeboard "Freemotion" für Fr. 5'095.-),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60und 133 IV 286 E. 1.4 S. 287),</w:t>
      </w:r>
    </w:p>
    <w:p>
      <w:r>
        <w:t>dass die Eingabe des Versicherten vom 21. Juni 2019 diesen inhaltlichen Mindestanforderungen offensichtlich nicht genügt, da sie keinen rechtsgenüglichen Antrag enthält und den Ausführungen nicht ansatzweise entnommen werden kann, inwiefern die Sachverhaltsfeststellung im Sinne von Art. 97 Abs. 1 BGG - soweit überhaupt beanstandet - unzutreffend und die darauf beruhenden Erwägungen rechtsfehlerhaft sein sollen,</w:t>
      </w:r>
    </w:p>
    <w:p>
      <w:r>
        <w:t>dass, soweit der Beschwerdeführer unter Beilage eines ärztlichen Attests seines Hausarztes geltend macht, aus gesundheitlichen Gründen sei er nicht in der Lage, eine schriftliche Begründung einzureichen, er weder darlegt noch ersichtlich ist, weshalb es ihm während der gesamten Rechtsmittelfrist objektiv nicht möglich gewesen sein soll, selber oder durch eine Drittperson eine Beschwerde zumindest mit minimaler Begründung einzureichen,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19. Juli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