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9C_439/2009 vom 30. Dezember 2009</w:t>
      </w:r>
    </w:p>
    <w:p>
      <w:r>
        <w:t>Bundesgericht, 2009-12-30, FR</w:t>
      </w:r>
    </w:p>
    <w:p>
      <w:r>
        <w:rPr>
          <w:b/>
        </w:rPr>
        <w:t xml:space="preserve">Quelle: </w:t>
      </w:r>
      <w:r>
        <w:t>https://mcp.opencaselaw.ch/entscheid/bger_9C_439_2009</w:t>
      </w:r>
    </w:p>
    <w:p>
      <w:r>
        <w:t>FR: TF 9C_439/2009 du 30 décembre 2009</w:t>
      </w:r>
    </w:p>
    <w:p>
      <w:r>
        <w:t>IT: TF 9C_439/2009 del 30 dicembre 2009</w:t>
      </w:r>
    </w:p>
    <w:p>
      <w:pPr>
        <w:pStyle w:val="Heading2"/>
      </w:pPr>
      <w:r>
        <w:t>Erwägungen</w:t>
      </w:r>
    </w:p>
    <w:p>
      <w:r>
        <w:rPr>
          <w:b/>
        </w:rPr>
        <w:t>E. 1</w:t>
      </w:r>
    </w:p>
    <w:p>
      <w:r>
        <w:t>Le recours étant recevable comme recours en matière de droit public ( art. 82 ss LTF ), le recours constitutionnel subsidiaire est en l'espèce exclu ( art. 113 LTF ) et doit être déclaré irrecevable. Les griefs soulevés par le recourant dans son recours constitutionnel subsidiaire seront toutefois traités comme faisant partie intégrante du recours en matière de droit public interjeté parallèlement, dès lors que le droit fédéral au sens de l' art. 95 let. a LTF comprend les droits constitutionnels.</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L'administration et les premiers juges ont évalué l'invalidité selon la méthode générale de comparaison des revenus en prenant pour base la moyenne des bénéfices réalisés par le recourant de 1999 à 2003,(14'382 fr.), et le bénéfice réalisé en 2005 (17'581 fr.). Ils ont considéré qu'il n'était pas invalide au sens de la LAI, car il ne subissait pas de perte de gain, malgré une incapacité de travail médicalement attestée de 50 %.</w:t>
      </w:r>
    </w:p>
    <w:p>
      <w:r>
        <w:rPr>
          <w:b/>
        </w:rPr>
        <w:t>E. 4</w:t>
      </w:r>
    </w:p>
    <w:p>
      <w:r>
        <w:t>Le recourant ne remet pas en cause la méthode générale de comparaison des revenus ni la répartition du bénéfice faite par l'administration et les premiers juges entre son épouse et lui-même avant et après son atteinte à la santé. Il allègue toutefois que le bénéfice d'exploitation total de l'entreprise se serait élevé à 80'000 fr. au moins sans la survenance de son incapacité de travail partielle, car il estime que son entreprise, créée en 1999 et dans laquelle il s'est beaucoup investi, n'aurait pu que prospérer. En particulier, il estime que si son bénéfice n'a cessé d'augmenter depuis 1999 quand bien même sa capacité de travail a diminué de moitié depuis 2006, il réaliserait un bénéfice plus important encore aujourd'hui avec une capacité de travail de 100 %. Dans la mesure où les premiers juges n'avaient pas instruit cette question, ils avaient violé le droit fédéral.</w:t>
      </w:r>
    </w:p>
    <w:p>
      <w:r>
        <w:rPr>
          <w:b/>
        </w:rPr>
        <w:t>E. 5.1</w:t>
      </w:r>
    </w:p>
    <w:p>
      <w:r>
        <w:t>Le revenu sans invalidité s'évalue, en règle générale, d'après le dernier salaire que l'assuré a obtenu avant l'atteinte à la santé, en tenant compte de l'évolution des circonstances à l'époque où est né le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 ATF 129 V 222 consid. 4.3.1 p. 224 et la référence). On ne saurait s'écarter du dernier salaire que l'assuré a obtenu avant l'atteinte à la santé pour le seul motif que celui-ci disposait, avant la survenance de son invalidité, de meilleures possibilités de gain que celles qu'il mettait en valeur et qui lui permettaient d'obtenir un revenu modeste ( ATF 125 V 146 consid. 5c/bb p. 157 et les arrêts cités); il convient toutefois de renoncer à s'y référer lorsqu'il ressort de l'ensemble des circonstances du cas que l'assuré, sans invalidité, ne se serait pas contenté d'une telle rémunération de manière durable (PJA 2002 1487; RCC 1992 p. 96 consid. 4a).</w:t>
      </w:r>
    </w:p>
    <w:p>
      <w:r>
        <w:rPr>
          <w:b/>
        </w:rPr>
        <w:t>E. 5.2</w:t>
      </w:r>
    </w:p>
    <w:p>
      <w:r>
        <w:t>En l'espèce, on ne dispose pas de renseignements concrets fiables sur le bénéfice que l'entreprise aurait pu dégager, sans la survenance de l'atteinte à la santé du recourant. Le recourant prétend qu'il aurait pu dégager avec son épouse un bénéfice global de 80'000 fr. par année. Toutefois, ainsi que cela ressort du tableau des comptes de l'entreprise sur lequel se sont fondés l'administration et les premiers juges pour calculer les revenus avec et sans invalidité du recourant, le bénéfice d'exploitation total entre 1999 et 2003 était de 27'714 fr. en moyenne, sans fluctuations importantes. En 2004, le bénéfice s'est élevé à 48'324 fr. Il a encore augmenté en 2005, atteignant 60'237 fr. En 2006, il était quasiment identique à celui de l'année 2005, atteignant 61'096 fr. Le fait que le bénéfice de l'entreprise est passé du simple au double entre 2003 et 2005 alors que le recourant était en incapacité de travail totale de décembre 2003 à juillet 2004 puis à 50 % de juillet 2004 au mois de novembre 2005 montre que le résultat de l'entreprise ne dépendait pas uniquement de l'engagement et des capacités du recourant mais de nombreux autres facteurs étrangers à l'invalidité. Aussi ne saurait-on admettre que sans la diminution de sa capacité de travail, le recourant aurait encore pu augmenter le bénéfice de son entreprise. En tout état de cause, ces éléments ne permettent pas de considérer que le revenu sans invalidité retenu par les premiers juges serait manifestement inexact.</w:t>
      </w:r>
    </w:p>
    <w:p>
      <w:r>
        <w:t>Mal fondé, le recours doit être rejeté.</w:t>
      </w:r>
    </w:p>
    <w:p>
      <w:r>
        <w:rPr>
          <w:b/>
        </w:rPr>
        <w:t>E. 6</w:t>
      </w:r>
    </w:p>
    <w:p>
      <w:r>
        <w:t>Vu l'issue du litige, les frais de la procédure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