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439/2007 vom 28. Februar 2008</w:t>
      </w:r>
    </w:p>
    <w:p>
      <w:r>
        <w:t>Bundesgericht, 2008-02-28, FR</w:t>
      </w:r>
    </w:p>
    <w:p>
      <w:r>
        <w:rPr>
          <w:b/>
        </w:rPr>
        <w:t xml:space="preserve">Quelle: </w:t>
      </w:r>
      <w:r>
        <w:t>https://mcp.opencaselaw.ch/entscheid/bger_9C_439_2007</w:t>
      </w:r>
    </w:p>
    <w:p>
      <w:r>
        <w:t>FR: TF 9C 439/2007 du 28 février 2008</w:t>
      </w:r>
    </w:p>
    <w:p>
      <w:r>
        <w:t>IT: TF 9C 439/2007 del 28 febbraio 2008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du recourant,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a pour seul objet la question de la reconsidération par l'office AI des décisions des 3 août 1998 et 13 juillet 2001. En tant que les conclusions tendent à la mise en oeuvre de mesures d'instruction complémentaires sur le plan médical dans le but de constater une éventuelle aggravation de son état de santé, elles sont irrecevables, dès lors qu'elles sortent de l'objet du litige défini par la décision litigieuse (sur la notion d'objet de la contestation, voir ATF 125 V 413 ; cf. également Meyer/von Zwehl, L'objet du litige en procédure de droit administratif fédéral, in : Mélanges Pierre Moor, Berne 2005, p. 437 ss).</w:t>
      </w:r>
    </w:p>
    <w:p>
      <w:r>
        <w:rPr>
          <w:b/>
        </w:rPr>
        <w:t>E. 3.1</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3.2</w:t>
      </w:r>
    </w:p>
    <w:p>
      <w:r>
        <w:t>En l'espèce, il n'est pas contesté que le degré d'invalidité résultant de la comparaison des revenus effectuée à l'époque s'élevait à 58 % (rapport de la division de réadaptation professionnelle du 4 décembre 1997) et que le taux retenu dans la décision initiale de rente du 3 août 1998 était de 60 %. Les premiers juges ont considéré que rien ne permettait d'affirmer que le degré d'invalidité résultait d'un arrondi effectué en toute connaissance de cause par l'office AI; force était de constater que l'office AI avait commis une erreur manifeste en reportant dans ses décisions un degré d'invalidité de 60 %. Cette constatation est manifestement inexacte. Il ressort d'une note rédigée le 5 décembre 2005 par la gestionnaire de l'office AI que le degré d'invalidité avait été délibérément arrondi de 58 à 60 % au moment de statuer sur le droit à la rente. Jusqu'à récemment d'ailleurs, l'arrondissement vers le haut ou vers le bas du taux d'invalidité était une pratique admise aussi bien par l'administration que par les tribunaux (cf. ATF 127 V 129 consid. 4 p. 130). Le fait que le Tribunal fédéral des assurances a par la suite exposé que le taux d'invalidité obtenu au terme d'une comparaison des revenus est une valeur exacte qu'il y a lieu d'arrondir au plus proche pourcentage entier ( ATF 130 V 121 ) ne saurait justifier la reconsidération de toutes les décisions d'allocation de rente rendues antérieurement, au motif qu'elles ne respecteraient pas ce principe (cf. également arrêt I 16/02 du 21 mars 2002). Ainsi qu'on l'a vu, l'administration ne saurait en règle générale reconsidérer ses décisions en s'appuyant sur une jurisprudence postérieure à leur prononcé (cf. ATF 119 V 410 consid. 3b p. 413).</w:t>
      </w:r>
    </w:p>
    <w:p>
      <w:r>
        <w:rPr>
          <w:b/>
        </w:rPr>
        <w:t>E. 3.3</w:t>
      </w:r>
    </w:p>
    <w:p>
      <w:r>
        <w:t>En considérant que l'office AI était fondé à reconsidérer les décisions des 3 août 1998 et 13 juillet 2001, le Tribunal cantonal des assurances sociales a violé le droit fédéral. Partant, le recours s'avère bien fondé et le jugement entrepris ainsi que la décision sur opposition litigieuse doivent être annulés. Conformément à la modification de l'échelonnement des rentes ( art. 28 al. 1 LAI ) résultant de l'entrée en vigueur le 1er janvier 2004 des dispositions de la novelle du 21 mars 2003 modifiant la LAI (4e révision), le recourant a droit à un trois-quarts rente d'invalidité à compter du 1er janvier 2004.</w:t>
      </w:r>
    </w:p>
    <w:p>
      <w:r>
        <w:rPr>
          <w:b/>
        </w:rPr>
        <w:t>E. 4</w:t>
      </w:r>
    </w:p>
    <w:p>
      <w:r>
        <w:t>Vu l'issue du litige, les frais de justice seront supportés par l'intimé (art. 66 al. 1 en relation avec l' art. 65 al. 4 let. a LTF ). Le recourant, qui obtient gain de cause, a droit à une indemnité de dépens pour l'ensemble de la procédure à la charge de l'intimé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