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437/2008 vom 19. März 2009</w:t>
      </w:r>
    </w:p>
    <w:p>
      <w:r>
        <w:t>Bundesgericht, 2009-03-19, FR</w:t>
      </w:r>
    </w:p>
    <w:p>
      <w:r>
        <w:rPr>
          <w:b/>
        </w:rPr>
        <w:t xml:space="preserve">Quelle: </w:t>
      </w:r>
      <w:r>
        <w:t>https://mcp.opencaselaw.ch/entscheid/bger_9C_437_2008</w:t>
      </w:r>
    </w:p>
    <w:p>
      <w:r>
        <w:t>FR: TF 9C 437/2008 du 19 mars 2009</w:t>
      </w:r>
    </w:p>
    <w:p>
      <w:r>
        <w:t>IT: TF 9C 437/2008 del 19 marzo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Tribunal cantonal des assurances sociales a estimé que, sur le plan médical, il n'y avait pas lieu de s'écarter des conclusions résultant de l'expertise du docteur T.________. Bien que l'état de la colonne vertébrale ne se fût pas amélioré, la consolidation de la fracture du tibia avait permis à la recourante de recouvrer une certaine autonomie à compter du mois de février 2003, de sorte qu'il fallait lui reconnaître une capacité résiduelle de travail de 50 % dans une activité adaptée à compter de cette date. Si l'avis des médecins traitants divergeait, il ne reposait toutefois pas sur des éléments médicaux, mais sur des circonstances qu'il n'appartenait pas à l'assurance-invalidité de prendre en considération (âge et absence de formation).</w:t>
      </w:r>
    </w:p>
    <w:p>
      <w:r>
        <w:rPr>
          <w:b/>
        </w:rPr>
        <w:t>E. 2.2</w:t>
      </w:r>
    </w:p>
    <w:p>
      <w:r>
        <w:t>La recourante se plaint d'une constatation manifestement inexacte des faits pertinents, consécutive à une mauvaise appréciation des preuves. Elle reproche notamment au Tribunal cantonal des assurances sociales d'avoir écarté les avis exprimés par le docteur M.________ et par le professeur K.________. Ce dernier médecin aurait en particulier jugé illusoire le fait qu'elle puisse exercer une autre activité, non seulement en raison de son âge, mais à cause également du pronostic médical, son état de santé étant promis à se péjorer avec le temps.</w:t>
      </w:r>
    </w:p>
    <w:p>
      <w:r>
        <w:rPr>
          <w:b/>
        </w:rPr>
        <w:t>E. 3</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l'occurrence, l'argumentation avancée par la recourante se résume en substance à renvoyer aux avis émis par les docteurs M.________ et K.________. Ce faisant, la recourante n'établit nullement, au moyen d'une argumentation précise et détaillée, le caractère insoutenable du raisonnement développé par les premiers juges. En particulier, elle n'apporte aucun élément précis qui justifierait, d'un point de vue strictement médical, de s'écarter des conclusions de l'expertise réalisée par le docteur T.________. Cela étant, à défaut de griefs plus concrets à l'encontre des faits constatés, il n'y a pas lieu de considérer que les premiers juges ont violé le droit fédéral dans l'établissement de ceux-ci.</w:t>
      </w:r>
    </w:p>
    <w:p>
      <w:r>
        <w:rPr>
          <w:b/>
        </w:rPr>
        <w:t>E. 4.1</w:t>
      </w:r>
    </w:p>
    <w:p>
      <w:r>
        <w:t>Se référant à l'avis exprimé par le docteur K.________, la recourante estime qu'il n'existe aucune activité exigible qu'elle pourrait exercer sur le marché du travail, vu son handicap, son âge et son manque de formation. La question de l'exigibilité d'une activité professionnelle au regard des circonstances personnelles de la recourante n'a pas été appréciée par les premiers juges et peut être examinée librement en instance fédérale.</w:t>
      </w:r>
    </w:p>
    <w:p>
      <w:r>
        <w:rPr>
          <w:b/>
        </w:rPr>
        <w:t>E. 4.2</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I 819/04 du 27 mai 2005 consid. 2.2 et les références).</w:t>
      </w:r>
    </w:p>
    <w:p>
      <w:r>
        <w:rPr>
          <w:b/>
        </w:rPr>
        <w:t>E. 4.3</w:t>
      </w:r>
    </w:p>
    <w:p>
      <w:r>
        <w:t>La recourante, née en novembre 1945, était âgée de 61 ans et un mois au moment déterminant où la décision litigieuse a été rendue (11 décembre 2006). Elle a travaillé de 1966 à 1978 comme femme de ménage, puis du 1er décembre 1978 jusqu'au jour de son premier accident en qualité de concierge dans un immeuble. Il n'apparaît pas qu'elle ait acquis durant sa carrière une quelconque formation professionnelle ou toute autre expérience qu'elle aurait pu mettre en valeur. L'exercice d'une nouvelle activité adaptée aux importantes limitations fonctionnelles l'affectant - activité sédentaire, privilégiant la position assise et les déplacements plutôt à plat, sans inclinaison vers l'avant ni port de charges supérieures à 5 kilos - impliquerait par conséquent une reconversion professionnelle et présupposerait des facultés d'adaptation probablement insurmontables d'un point de vue subjectif. On soulignera au demeurant que l'intimé n'a, au cours de la procédure administrative, donné aucun exemple concret d'activités adaptées que la recourante pourrait raisonnablement accomplir et encore moins aidé celle-ci à élaborer un projet professionnel réaliste et convenable. On peine dès lors à imaginer qu'un employeur consente les moyens et les efforts nécessaires pour permettre à la recourante de se réinsérer dans le monde du travail. Compte tenu de la situation personnelle et professionnelle de la recourante, il convient de conclure qu'elle n'est plus en mesure de retrouver un emploi léger et adapté à son handicap sur un marché équilibré du travail. En tant que la recourante ne peut plus exploiter sa capacité résiduelle de travail sur le plan économique, il en résulte une invalidité totale sur le plan professionnel.</w:t>
      </w:r>
    </w:p>
    <w:p>
      <w:r>
        <w:rPr>
          <w:b/>
        </w:rPr>
        <w:t>E. 4.4</w:t>
      </w:r>
    </w:p>
    <w:p>
      <w:r>
        <w:t>Les considérations qui précèdent justifient de procéder à une nouvelle évaluation globale de l'invalidité de la recourante pour la période postérieure au mois de février 2003. Il ressort du jugement entrepris que si l'assurée avait été en bonne santé, elle aurait consacré 45 % de son temps à l'exercice de son activité professionnelle et le reste à l'accomplissement de ses travaux habituels. Il n'y a pas lieu de s'écarter des conclusions de l'enquête économique sur le ménage et de l'entrave de 30 % retenue par l'enquêtrice, les critiques d'ordre général développées par la recourante à son égard n'étant pas susceptibles de remettre en cause la valeur probante de ce document ( ATF 128 V 93 ; voir également arrêt 9C_406/2008 du 22 juillet 2008 consid. 4). Cela étant, on parvient à un taux d'invalidité global de 62 % ([45 % x 100] + [55 % x 30]), lequel donne droit à un trois quarts de rente à compter du 1er mai 2003 ( art. 88a al. 2 RAI ).</w:t>
      </w:r>
    </w:p>
    <w:p>
      <w:r>
        <w:rPr>
          <w:b/>
        </w:rPr>
        <w:t>E. 5</w:t>
      </w:r>
    </w:p>
    <w:p>
      <w:r>
        <w:t>La recourante n'obtenant que partiellement gain de cause, les frais judiciaires sont répartis proportionnellement entre elle et l'intimé ( art. 66 al. 1 LTF ). Elle a en outre droit à une indemnité de dépens réduite à la charge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