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9C_436/2012 vom 16. Oktober 2012</w:t>
      </w:r>
    </w:p>
    <w:p>
      <w:r>
        <w:t>Bundesgericht, 2012-10-16, DE</w:t>
      </w:r>
    </w:p>
    <w:p>
      <w:r>
        <w:rPr>
          <w:b/>
        </w:rPr>
        <w:t xml:space="preserve">Quelle: </w:t>
      </w:r>
      <w:r>
        <w:t>https://mcp.opencaselaw.ch/entscheid/bger_9C_436_2012</w:t>
      </w:r>
    </w:p>
    <w:p>
      <w:r>
        <w:t>FR: TF 9C_436/2012 du 16 octobre 2012</w:t>
      </w:r>
    </w:p>
    <w:p>
      <w:r>
        <w:t>IT: TF 9C_436/2012 del 16 ottobre 2012</w:t>
      </w:r>
    </w:p>
    <w:p>
      <w:pPr>
        <w:pStyle w:val="Heading2"/>
      </w:pPr>
      <w:r>
        <w:t>Erwägungen</w:t>
      </w:r>
    </w:p>
    <w:p>
      <w:r>
        <w:rPr>
          <w:b/>
        </w:rPr>
        <w:t>E. 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Änderung in den tatsächlichen Verhältnissen, die geeignet ist, den Invaliditätsgrad und damit den Rentenanspruch zu beeinflussen (Revisionsgrund; BGE 133 V 545 ; 130 V 343 E. 3.5 S. 349; Urteil 9C_889/2011 vom 8. Februar 2012 E. 3.1).</w:t>
      </w:r>
    </w:p>
    <w:p>
      <w:r>
        <w:t>Referenzzeitpunkt für die Prüfung einer anspruchserheblichen Änderung bildet die letzte rechtskräftige Verfügung, welche auf einer materiellen Prüfung des Rentenanspruchs mit rechtskonformer Sachverhaltsabklärung, Beweiswürdigung und Ermittlung des Invaliditätsgrades (bei Anhaltspunkten für eine Änderung in den Auswirkungen der gesundheitlichen Beeinträchtigung im erwerblichen oder im Aufgabenbereich) beruht ( BGE 133 V 108 E. 5.4 S. 114; Urteil 9C_889/2011 vom 8. Februar 2012 E. 3.2). Vergleichszeitraum im vorliegenden Fall ist der 9. Juni 2008 bis 13. Januar 2011.</w:t>
      </w:r>
    </w:p>
    <w:p>
      <w:r>
        <w:rPr>
          <w:b/>
        </w:rPr>
        <w:t>E. 3</w:t>
      </w:r>
    </w:p>
    <w:p>
      <w:r>
        <w:t>Die Vorinstanz ist in Würdigung der Akten zum Ergebnis gelangt, ein Revisionsgrund sei nicht gegeben. Die Gutachter der MEDAS hätten ausdrücklich festgehalten, dass keine Veränderung des Gesundheitszustandes stattgefunden habe, wobei aus psychiatrischer Sicht noch nie und aus rheumatologischer Sicht seit jeher bzw. seit Juni 2005 eine 20%ige Einschränkung der Leistungsfähigkeit bestanden habe.</w:t>
      </w:r>
    </w:p>
    <w:p>
      <w:r>
        <w:rPr>
          <w:b/>
        </w:rPr>
        <w:t>E. 4</w:t>
      </w:r>
    </w:p>
    <w:p>
      <w:r>
        <w:t>Die Beschwerde führende IV-Stelle bringt vor, die Beurteilung der Frage, ob sich der Gesundheitszustand in revisionsrechtlich erheblichem Masse verändert habe, erfordere einen Vergleich der Befunde in den Gutachten des ABI vom 24. August 2007 und der MEDAS vom 19. August 2010. Das habe die Vorinstanz nicht getan und damit den massgeblichen Sachverhalt unvollständig festgestellt.</w:t>
      </w:r>
    </w:p>
    <w:p>
      <w:r>
        <w:rPr>
          <w:b/>
        </w:rPr>
        <w:t>E. 4.1</w:t>
      </w:r>
    </w:p>
    <w:p>
      <w:r>
        <w:t>Im Gutachten des ABI vom 24. August 2007 wurde u.a. festgehalten, die Explorandin habe sich mit langsamen schleppenden Schritten bewegt und sei während der ganzen Untersuchung zusammengesunken auf ihrem Stuhl gesessen. Die Sprechweise sei monoton, die Psychomotorik eingeschränkt und die Stimmung depressiv gewesen. Der affektive Kontakt zum Untersucher sei distanziert geblieben. Demgegenüber zeigte die Versicherte gemäss dem (psychiatrischen Teil-) Gutachten der MEDAS vom 19. August 2010 keine Verhaltensauffälligkeiten, wie die IV-Stelle insoweit richtig vorbringt. Weiter wurde die von den Gutachtern des ABI diagnostizierten rezidivierende depressive Störung, gegenwärtig mittelgradige Episode (ICD-10 F33.1), sollte eine solche 2007 vorgelegen haben, von den Experten der MEDAS als gegenwärtig remittiert, die anhaltende somatoforme Schmerzstörung (ICD-10 F45.4) und die abhängige Persönlichkeitsstörung (ICD-10 F60.7) als aktuell nicht nachvollziehbar bezeichnet; es habe zu keiner Zeit eine psychiatrische Krankheit nachgewiesen werden können.</w:t>
      </w:r>
    </w:p>
    <w:p>
      <w:r>
        <w:rPr>
          <w:b/>
        </w:rPr>
        <w:t>E. 4.2</w:t>
      </w:r>
    </w:p>
    <w:p>
      <w:r>
        <w:t>Das Vorstehende ändert nichts daran, dass nach nicht offensichtlich unrichtiger und somit für das Bundesgericht verbindlicher Feststellung der Vorinstanz die Gutachter der MEDAS ausdrücklich eine Veränderung des Gesundheitszustandes seit Juni 2005 verneinten (E. 1 und 3). Das Fehlen einer revisionsrechtlich erheblichen Veränderung des Gesundheitszustandes seit Zusprechung der halben Rente mit Verfügung vom 9. Juni 2008 ist auch nicht das Ergebnis willkürlicher Beweiswürdigung, wie die diesbezüglich divergenten medizinischen Unterlagen zeigen: Während gemäss Dr. med. H.________ vom regionalen ärztlichen Dienst (RAD) von einer wesentlichen Verbesserung des Gesundheitszustandes auszugehen ist (Stellungnahmen vom 20. September 2010 und 10. Januar 2011), beschreiben sowohl der behandelnde Psychiater Dr. med. S.________ (Schreiben vom 27. November 2010), als auch Dr. med. L.________ (Privatgutachten vom 16. März 2011) im Wesentlichen unveränderte Verhältnisse.</w:t>
      </w:r>
    </w:p>
    <w:p>
      <w:r>
        <w:rPr>
          <w:b/>
        </w:rPr>
        <w:t>E. 5</w:t>
      </w:r>
    </w:p>
    <w:p>
      <w:r>
        <w:t>Die Vorinstanz hat auch geprüft, ob die angefochtene Rentenaufhebung mit der substituierten Begründung der zweifellosen Unrichtigkeit der Verfügung vom 9. Juni 2008 zu schützen sei (vgl. Art. 53 Abs. 2 ATSG und BGE 125 V 368 E. 2 S. 369 sowie SVR 2011 IV Nr. 20 S. 53, 9C_303/2010 E. 4). Sie hat die Frage verneint. Die IV-Stelle bringt diesbezüglich nichts vor. Es besteht kein Anlass zu Weiterungen.</w:t>
      </w:r>
    </w:p>
    <w:p>
      <w:r>
        <w:rPr>
          <w:b/>
        </w:rPr>
        <w:t>E. 6</w:t>
      </w:r>
    </w:p>
    <w:p>
      <w:r>
        <w:t>Mit dem Entscheid in der Sache ist die Frage der aufschiebenden Wirkung der Beschwerde gegenstandslos.</w:t>
      </w:r>
    </w:p>
    <w:p>
      <w:r>
        <w:rPr>
          <w:b/>
        </w:rPr>
        <w:t>E. 7</w:t>
      </w:r>
    </w:p>
    <w:p>
      <w:r>
        <w:t>Bei diesem Ausgang des Verfahrens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