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434/2021 vom 29. Juni 2022</w:t>
      </w:r>
    </w:p>
    <w:p>
      <w:r>
        <w:t>Bundesgericht, 2022-06-29, DE</w:t>
      </w:r>
    </w:p>
    <w:p>
      <w:r>
        <w:rPr>
          <w:b/>
        </w:rPr>
        <w:t xml:space="preserve">Quelle: </w:t>
      </w:r>
      <w:r>
        <w:t>https://mcp.opencaselaw.ch/entscheid/bger_9C_434_2021</w:t>
      </w:r>
    </w:p>
    <w:p>
      <w:r>
        <w:t>FR: TF 9C 434/2021 du 29 juin 2022</w:t>
      </w:r>
    </w:p>
    <w:p>
      <w:r>
        <w:t>IT: TF 9C 434/2021 del 29 giugno 2022</w:t>
      </w:r>
    </w:p>
    <w:p>
      <w:pPr>
        <w:pStyle w:val="Heading2"/>
      </w:pPr>
      <w:r>
        <w:t>Regeste</w:t>
      </w:r>
    </w:p>
    <w:p>
      <w:r>
        <w:t>Alters- und Hinterlassenenversicherung (Haftung des Arbeitgebers) | Alters- und Hinterlassenenversicherung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die Vorinstanz Bundesrecht verletzte, indem sie eine Pflicht der Beschwerdeführerin zur Leistung von Schadenersatz an die Beschwerdegegnerin in der Höhe von Fr. 154'090.30 bejahte.</w:t>
      </w:r>
    </w:p>
    <w:p>
      <w:r>
        <w:rPr>
          <w:b/>
        </w:rPr>
        <w:t>E. 2.2</w:t>
      </w:r>
    </w:p>
    <w:p>
      <w:r>
        <w:t>Im angefochtenen Urteil wurden die Grundlagen der Arbeitgeberhaftung ( Art. 52 AHVG ; Art. 14 Abs. 1 und Art. 51 Abs. 1 AHVG in Verbindung mit Art. 34 ff. AHVV ) sowie die dazu ergangene Rechtsprechung zutreffend wiedergegeben. Es betrifft dies insbesondere die Voraussetzungen der subsidiären Haftung der Organe eines Arbeitgebers (Schaden, Widerrechtlichkeit, Verschulden und adäquater Kausalzusammenhang zwischen vorwerfbarem Verhalten und eingetretenem Schaden). Darauf wird verwiesen.</w:t>
      </w:r>
    </w:p>
    <w:p>
      <w:r>
        <w:rPr>
          <w:b/>
        </w:rPr>
        <w:t>E. 3.1</w:t>
      </w:r>
    </w:p>
    <w:p>
      <w:r>
        <w:t>In prozessualer Hinsicht macht die Beschwerdeführerin unter Berufung auf Art. 29 Abs. 2 BV vorab eine Verletzung des rechtlichen Gehörs geltend, da sich das kantonale Gericht nicht zu ihrem Antrag auf Beiladung von C.________, ehemals Geschäftsführer der B.________ GmbH, zum Beschwerdeverfahren geäussert habe.</w:t>
      </w:r>
    </w:p>
    <w:p>
      <w:r>
        <w:rPr>
          <w:b/>
        </w:rPr>
        <w:t>E. 3.2.1</w:t>
      </w:r>
    </w:p>
    <w:p>
      <w:r>
        <w:t>Gemäss Art. 29 Abs. 2 BV haben die Parteien Anspruch auf rechtliches Gehör. Dieses dient einerseits der Sachaufklärung, anderseits stellt es ein persönlichkeitsbezogenes Mitwirkungsrecht beim Erlass eines Entscheids dar, welcher in die Rechtsstellung des Einzelnen eingreift. Dazu gehört auch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 136 I 265 E. 3.2; 135 II 286 E. 5.1). Der Anspruch auf rechtliches Gehör als persönlichkeitsbezogenes Mitwirkungsrecht verlangt namentlich, dass die Behörde die Vorbringen der vom Entscheid in ihrer Rechtsstellung betroffenen Person auch tatsächlich hört, sorgfältig und ernsthaft prüft und - soweit entscheidrelevant - in der Entscheidfindung berücksichtigt ( BGE 135 III 670 E. 3.3.1 ; 129 I 232 E. 3.2; Urteil 2C_608/2021 vom 11. Mai 2022 E. 4.2.2 mit Hinweisen). Die Behörde hat die Pflicht, die Argumente und Verfahrensanträge der Partei entgegenzunehmen und zu beurteilen ( BGE 124 I 241 E. 2 mit Hinweisen; Urteil 9C_78/2021 vom 26. März 2021 E. 2.1 mit Hinweisen).</w:t>
      </w:r>
    </w:p>
    <w:p>
      <w:r>
        <w:rPr>
          <w:b/>
        </w:rPr>
        <w:t>E. 3.2.2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 BGE 126 V 130 E. 2b mit Hinweisen).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je mit Hinweisen; Urteil 9C_555/2020 vom 3. März 2021 E. 4.4.1 mit Hinweisen).</w:t>
      </w:r>
    </w:p>
    <w:p>
      <w:r>
        <w:rPr>
          <w:b/>
        </w:rPr>
        <w:t>E. 3.3</w:t>
      </w:r>
    </w:p>
    <w:p>
      <w:r>
        <w:t>In ihrer gegen den Einspracheentscheid der Beschwerdegegnerin vom 24. Januar 2019 gerichteten Beschwerde vom 25. Februar 2019 hatte die Beschwerdeführerin in verfahrensrechtlicher Hinsicht die Beiladung von C.________ in seiner Funktion als ehemaliger Geschäftsführer der B.________ GmbH zum Beschwerdeverfahren beantragt. Das (in der Folge aufgehobene) vorinstanzliche Urteil vom 11. Mai 2020 enthielt in den Ausführungen zum Sachverhalt respektive Prozessverlauf den Hinweis, die Beschwerdeführerin ersuche zudem um Beiladung von C.________ zum Verfahren. In den Erwägungen wurde darauf nicht eingegangen, was sich auf Grund des Ausgangs des Prozesses (Gutheissung der Beschwerde infolge Verjährung der streitgegenständlichen Forderung) indes ohnehin erübrigte. Das hier angefochtene Urteil erwähnt den entsprechenden Antrag um Beiladung von C.________ im Sachverhalt zwar ebenfalls, ohne dass sich die Vorinstanz damit aber - trotz teilweiser Abweisung des Rechtsmittels - im Rahmen der rechtlichen Würdigung befasste.</w:t>
      </w:r>
    </w:p>
    <w:p>
      <w:r>
        <w:rPr>
          <w:b/>
        </w:rPr>
        <w:t>E. 3.4</w:t>
      </w:r>
    </w:p>
    <w:p>
      <w:r>
        <w:t>Eine Verletzung des Anspruchs auf rechtliches Gehör der Beschwerdeführerin durch das kantonale Gericht ist vor diesem Hintergrund zu bejahen, da dieses es unterlassen hat, sich zum betreffenden prozessualen Antrag zu äussern. Letztinstanzlich werden Tat- und Rechtsfragen in den Verfahren betreffend AHVG nurmehr eingeschränkt überprüft (vgl. E. 1 hiervor), weshalb eine Heilung auf dieser Stufe rechtsprechungsgemäss entfällt, unbesehen davon, ob es sich dabei um eine schwerwiegende oder nicht besonders schwerwiegende Verletzung handelt. Überdies belegt das ausdrückliche Begehren der Beschwerdeführerin, das angefochtene Urteil bereits aus diesem Grund aufzuheben und die Angelegenheit zur Behandlung des Beiladungsersuchens an die Vorinstanz zurückzuweisen, ohne Weiteres, dass sie zugunsten eines formell einwandfreien Prozesses auf eine beförderliche Beurteilung der Sache im materiellen Punkt verzichtet. Wie hiervor dargelegt, führt ferner der Umstand, dass es sich dabei um einen verfahrensrechtlichen Antrag handelt, der für den Ausgang der materiellen Streitentscheidung unmittelbar nicht von Belang sein dürfte, auf Grund des formellen Charakters des Gehörsanspruchs zu keinem anderen Ergebnis. Das angefochtene Urteil verletzt daher Bundesrecht und ist aufzuheben; nähere Erläuterungen zur Frage der Arbeitgeberhaftung sind nicht erforderlich. Die Angelegenheit wird an die Vorinstanz zurückgewiesen, damit sie auf den Beiladungsantrag eingeht.</w:t>
      </w:r>
    </w:p>
    <w:p>
      <w:r>
        <w:rPr>
          <w:b/>
        </w:rPr>
        <w:t>E. 4.1</w:t>
      </w:r>
    </w:p>
    <w:p>
      <w:r>
        <w:t>Das Verfahren ist kostenpflichtig ( Art. 65 Abs. 4 lit. a BGG ). Die Gerichtskosten werden in der Regel der unterliegenden Partei auferlegt ( Art. 66 Abs. 1 Satz 1 BGG ). Des Weitern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und Art. 68 Abs. 4 BGG ). Dies gestattet auch, die Gerichts- und Parteikosten ausnahmsweise der Vorinstanz respektive dem Gemeinwesen, dem diese angehört, aufzuerlegen, namentlich wenn die Vorinstanz in qualifizierter Weise die Pflicht zur Justizgewährleistung verletzt hat ( BGE 142 V 551 E. 9.1 mit Hinweisen; Urteile 9C_354/2020 vom 8. September 2020 E. 5.1 und 9C_666/2018 vom 27. Mai 2019 E. 7.1, in: SVR 2019 IV Nr. 92 S. 306).</w:t>
      </w:r>
    </w:p>
    <w:p>
      <w:r>
        <w:rPr>
          <w:b/>
        </w:rPr>
        <w:t>E. 4.2</w:t>
      </w:r>
    </w:p>
    <w:p>
      <w:r>
        <w:t>Die Rückweisung der Sache an die Vorinstanz zu neuem Entscheid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unter vielen Urteil 9C_555/2020 vom 3. März 2021 E. 6.1 mit Hinweisen).</w:t>
      </w:r>
    </w:p>
    <w:p>
      <w:r>
        <w:rPr>
          <w:b/>
        </w:rPr>
        <w:t>E. 4.3</w:t>
      </w:r>
    </w:p>
    <w:p>
      <w:r>
        <w:t>Indem die Rückweisung einzig in der Nichtbehandlung eines verfahrensrechtlichen Antrags durch die Vorinstanz begründet liegt, erscheint es nicht gerechtfertigt, der Beschwerdegegnerin die Gerichts- und Parteikosten zu überbinden. Vielmehr hat diese der Kanton Zürich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