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9C_434/2019 vom 10. Juli 2019</w:t>
      </w:r>
    </w:p>
    <w:p>
      <w:r>
        <w:t>Bundesgericht, 2019-07-10, DE</w:t>
      </w:r>
    </w:p>
    <w:p>
      <w:r>
        <w:rPr>
          <w:b/>
        </w:rPr>
        <w:t xml:space="preserve">Quelle: </w:t>
      </w:r>
      <w:r>
        <w:t>https://mcp.opencaselaw.ch/entscheid/bger_9C_434_2019</w:t>
      </w:r>
    </w:p>
    <w:p>
      <w:r>
        <w:t>FR: TF 9C_434/2019 du 10 juillet 2019</w:t>
      </w:r>
    </w:p>
    <w:p>
      <w:r>
        <w:t>IT: TF 9C_434/2019 del 10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9C_434/2019</w:t>
      </w:r>
    </w:p>
    <w:p>
      <w:r>
        <w:t>Urteil vom 10. Juli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Personalvorsorgestiftung</w:t>
      </w:r>
    </w:p>
    <w:p>
      <w:r>
        <w:t>der Ärzte und Tierärzte PAT-BVG,</w:t>
      </w:r>
    </w:p>
    <w:p>
      <w:r>
        <w:t>Kapellenstrasse 5, 3011 Bern,</w:t>
      </w:r>
    </w:p>
    <w:p>
      <w:r>
        <w:t>vertreten durch Ausgleichskasse medisuisse,</w:t>
      </w:r>
    </w:p>
    <w:p>
      <w:r>
        <w:t>Oberer Graben 37, 9000 St. Gallen,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den Entscheid des Versicherungsgerichts des Kantons Solothurn</w:t>
      </w:r>
    </w:p>
    <w:p>
      <w:r>
        <w:t>vom 21. Mai 2019 (VSKLA.2019.3).</w:t>
      </w:r>
    </w:p>
    <w:p>
      <w:r>
        <w:t>Nach Einsicht</w:t>
      </w:r>
    </w:p>
    <w:p>
      <w:r>
        <w:t>in die Beschwerde in öffentlich-rechtlichen Angelegenheiten der A.________ GmbH vom 19. Juni 2019 gegen den Entscheid des Versicherungsgerichts des Kantons Solothurn vom 21. Mai 2019,</w:t>
      </w:r>
    </w:p>
    <w:p>
      <w:r>
        <w:t>in Erwägung,</w:t>
      </w:r>
    </w:p>
    <w:p>
      <w:r>
        <w:t>dass die Beschwerde nach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vom 19. Juni 2019 diesen inhaltlichen Mindestanforderungen nicht genügt,</w:t>
      </w:r>
    </w:p>
    <w:p>
      <w:r>
        <w:t>dass die Beschwerdeführerin zur Begründung ihres Antrags, die Klage sei abzuweisen, einzig Belege über fünf (Beitrags-) Zahlungen zu Gunsten der Beschwerdegegnerin einreicht, welche zum Teil während der Rechtshängigkeit des kantonalen Verfahrens, zum Teil nach Erlass des angefochtenen Entscheids geleistet wurden,</w:t>
      </w:r>
    </w:p>
    <w:p>
      <w:r>
        <w:t>dass es sich dabei um neue Tatsachen oder Beweismittel handelt, welche entweder von vornherein nicht berücksichtigt werden können ( Art. 105 Abs. 1 BGG ; BGE 140 V 543 E. 3.2.2.2 S. 548) oder schon im vorangegangenen Verfahren zu den Akten gegeben werden konnten und in Anbetracht ihrer Wichtigkeit sogar mussten ( Art. 99 Abs. 1 BGG ; BGE 142 V 311 E. 2 S. 312),</w:t>
      </w:r>
    </w:p>
    <w:p>
      <w:r>
        <w:t>dass die Beschwerde offensichtlich keine hinreichende Begründung enthält ( Art. 42 Abs. 2 BGG ) und daher im vereinfachten Verfahren nach Art. 108 Abs. 1 lit. b und Abs. 3 BGG durch Nichteintreten zu erledigen ist,</w:t>
      </w:r>
    </w:p>
    <w:p>
      <w:r>
        <w:t>dass umständehalber auf die Erhebung von Gerichtskosten zu verzichten ist ( Art. 66 Abs. 1 Satz 2 BGG 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10. Juli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