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9C_434/2012 vom 11. Oktober 2012</w:t>
      </w:r>
    </w:p>
    <w:p>
      <w:r>
        <w:t>Bundesgericht, 2012-10-11, DE</w:t>
      </w:r>
    </w:p>
    <w:p>
      <w:r>
        <w:rPr>
          <w:b/>
        </w:rPr>
        <w:t xml:space="preserve">Quelle: </w:t>
      </w:r>
      <w:r>
        <w:t>https://mcp.opencaselaw.ch/entscheid/bger_9C_434_2012</w:t>
      </w:r>
    </w:p>
    <w:p>
      <w:r>
        <w:t>FR: TF 9C_434/2012 du 11 octobre 2012</w:t>
      </w:r>
    </w:p>
    <w:p>
      <w:r>
        <w:t>IT: TF 9C_434/2012 del 11 ottobre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unter Hinweis auf Art. 26 Abs. 1 des Vorsorgereglements der Personalvorsorgestiftung, dessen Wortlaut mit Art. 24 Abs. 1 BVV 2 übereinstimmt, zutreffend dargelegt, dass Anspruch auf Leistungen aus der beruflichen Vorsorge besteht, soweit die anrechenbaren Einkünfte 90 % des mutmasslich entgangenen Verdienstes nicht erreichen. Als mutmasslich entgangener Verdienst gilt das hypothetische Einkommen, das die versicherte Person ohne Invalidität im Zeitpunkt, in welchem sich die Kürzungsfrage stellt, erzielen würde ( BGE 129 V 150 E. 2.3 S. 154) respektive könnte ( BGE 126 V 93 E. 3 S. 96). Es besteht eine weitgehende Parallelität zum Valideneinkommen nach Art. 16 ATSG , jedoch keine Kongruenz. Es ist den spezifischen Gegebenheiten und tatsächlichen Chancen der versicherten Person auf dem jeweiligen Arbeitsmarkt Rechnung zu tragen. Ausgehend vom zuletzt vor Eintritt der gesundheitlichen Beeinträchtigung mit Auswirkungen auf die Arbeitsfähigkeit erzielten Verdienst sind alle einkommensrelevanten Veränderungen (Teuerung, Reallohnerhöhung, Karriereschritte usw.) zu berücksichtigen, welche ohne Invalidität überwiegend wahrscheinlich eingetreten wären ( BGE 137 V 20 E. 5.2.3.1 S. 27 mit Hinweisen).</w:t>
      </w:r>
    </w:p>
    <w:p>
      <w:r>
        <w:rPr>
          <w:b/>
        </w:rPr>
        <w:t>E. 2.2</w:t>
      </w:r>
    </w:p>
    <w:p>
      <w:r>
        <w:t>In Übereinstimmung mit den Feststellungen der IV-Stelle und entgegen der Auffassung der Vorsorgeeinrichtung ging das kantonale Gericht davon aus, dass die Beschwerdeführerin ohne Invalidität ab 1. August 2009 in einem Vollzeitpensum erwerbstätig gewesen wäre. Es legte der Überentschädigungsberechnung einen mutmasslich entgangenen Verdienst von Fr. 49'855.-, entsprechend dem bei der letzten Arbeitgeberin erzielten, der Nominallohnentwicklung angepassten Verdienst, zugrunde, woraus sich eine Überentschädigungsgrenze von Fr. 44'869.50 (90 % von Fr. 49'855.-) ergab. Die Leistungen der Invalidenversicherung und der SUVA belaufen sich gemäss angefochtenem Entscheid auf Fr. 44'586.60 jährlich. Aus der Differenz zwischen diesen beiden Beträgen resultiert laut Vorinstanz die der Beschwerdeführerin zugesprochene, in kapitalisierter Form auszurichtende Invalidenrente aus beruflicher Vorsorge in der Höhe von Fr. 282.90 im Jahr.</w:t>
      </w:r>
    </w:p>
    <w:p>
      <w:r>
        <w:rPr>
          <w:b/>
        </w:rPr>
        <w:t>E. 2.3</w:t>
      </w:r>
    </w:p>
    <w:p>
      <w:r>
        <w:t>Die Versicherte ist mit der Berechnung gemäss angefochtenem Entscheid insoweit nicht einverstanden, als diese das mutmasslich erreichbare Einkommen zum Gegenstand hat. Dabei ist sie darauf hinzuweisen, dass der mutmasslich entgangene Verdienst und das hypothetische Valideneinkommen nicht deckungsgleich sind (E. 2.1 hievor), weshalb die Vorbringen in der Beschwerde nicht durchwegs stichhaltig sind, soweit sie sich auf Urteile und Literatur zum Valideneinkommen stützen. Nicht beigepflichtet werden kann der Beschwerdeführerin auch insoweit, als sie die von der Vorinstanz unterlassene Nominallohnanpassung für das Jahr 2010 als bundesrechtswidrig taxiert. Das Versicherungsgericht stellt diesbezüglich auf den Gesamtarbeitsvertrag (GAV) der Schweizer Möbelindustrie ab, laut welchem für 2010 keine Lohnerhöhung vereinbart worden war. Inwieweit die Vorinstanz damit Bundesrecht verletzt haben soll, vermag die Beschwerdeführerin nicht zu begründen, zumal es sich um den GAV handelt, welchem die frühere Arbeitgeberin und die Versicherte selbst unterstellt waren. Mit der in der Beschwerde durchgeführten Berechnung, welche aufgrund einer Nominallohnentwicklung von 1,1 % für 2010 einen mutmasslich entgangenen Verdienst von Fr. 50'743.- (mit entsprechend höherer Überentschädigungsgrenze von Fr. 45'669.- und einem jährlichen Rentenanspruch von Fr. 1'082.85) ergibt, vermag die Versicherte daher nicht darzulegen, inwiefern die vorinstanzliche Ermittlung der massgeblichen Berechnungsgrössen bundesrechtswidrig sein soll.</w:t>
      </w:r>
    </w:p>
    <w:p>
      <w:r>
        <w:rPr>
          <w:b/>
        </w:rPr>
        <w:t>E. 2.4</w:t>
      </w:r>
    </w:p>
    <w:p>
      <w:r>
        <w:t>Nicht gefolgt werden kann sodann der eventualiter vorgetragenen Begründung, das mutmasslich entgangene Einkommen sei statt aufgrund des zuletzt verdienten Lohnes anhand der Tabellenlöhne gemäss Lohnstrukturerhebung des Bundesamtes für Statistik festzusetzen. Wie erwähnt, wird regelmässig vom zuletzt, vor Eintritt des Gesundheitsschadens, erzielten Erwerbseinkommen ausgegangen. Dies gibt umso weniger zu Bedenken Anlass, als die Beschwerdeführerin vor ihrem Unfall bereits seit über zehn Jahren bei der Firma X.________ gearbeitet hatte. Gründe für die Annahme, sie hätte dieses stabile Anstellungsverhältnis ohne Unfall aufgegeben, werden nicht namhaft gemacht.</w:t>
      </w:r>
    </w:p>
    <w:p>
      <w:r>
        <w:rPr>
          <w:b/>
        </w:rPr>
        <w:t>E. 3.1</w:t>
      </w:r>
    </w:p>
    <w:p>
      <w:r>
        <w:t>Die Beschwerdeführerin rügt schliesslich, dass die Personalvorsorgestiftung ihr gemäss vorinstanzlichem Entscheid nur die Hälfte der Parteikosten ersetzen müsse. Die Klage sei jedoch grundsätzlich, wenn auch nicht masslich, gutgeheissen worden. Zudem habe sich die Versicherte in guten Treuen zur Prozessführung veranlasst gesehen, nachdem die Beschwerdegegnerin zu keiner aussergerichtlichen Einigung Hand geboten habe.</w:t>
      </w:r>
    </w:p>
    <w:p>
      <w:r>
        <w:rPr>
          <w:b/>
        </w:rPr>
        <w:t>E. 3.2</w:t>
      </w:r>
    </w:p>
    <w:p>
      <w:r>
        <w:t>Die Parteikosten im Prozess nach Art. 73 BVG sind nicht bundesrechtlich geregelt (z.B. Urteil 9C_911/2007 vom 23. Juni 2008).</w:t>
      </w:r>
    </w:p>
    <w:p>
      <w:r>
        <w:rPr>
          <w:b/>
        </w:rPr>
        <w:t>E. 3.2.1</w:t>
      </w:r>
    </w:p>
    <w:p>
      <w:r>
        <w:t>In der vorinstanzlichen Replik beantragte die Beschwerdeführerin die Zusprechung einer Invalidenrente aus beruflicher Vorsorge in der Höhe von Fr. 1'083.- im Jahr. Im angefochtenen Entscheid sprach ihr die Vorinstanz eine gekürzte Invalidenleistung von Fr. 282.90 jährlich zu, entsprechend dem Betrag, den die Vorsorgeeinrichtung in der Klageantwort als korrekt erachtet hatte für den Fall, dass die Invalidität nach der Einkommensvergleichsmethode bemessen werde.</w:t>
      </w:r>
    </w:p>
    <w:p>
      <w:r>
        <w:rPr>
          <w:b/>
        </w:rPr>
        <w:t>E. 3.2.2</w:t>
      </w:r>
    </w:p>
    <w:p>
      <w:r>
        <w:t>Die Beschwerdeführerin rügt keine Verletzung von Bundesrecht. Insbesondere macht sie nicht geltend, das Versicherungsgericht habe eine bundesrechtliche Norm falsch angewendet. Sie lässt es vielmehr dabei bewenden, der Vorinstanz eine Verletzung kantonaler Verfahrensbestimmungen vorzuwerfen. In einem solchen Fall ist die Überprüfung durch das Bundesgericht inhaltlich auf die Frage beschränkt, ob die Anwendung des kantonalen Rechts zu einer Bundesrechtswidrigkeit führt. Im Vordergrund steht dabei eine Verletzung verfassungsmässiger Rechte (zur Publikation in BGE 138 vorgesehenes Urteil 9C_197/2012 vom 7. September 2012; BGE 133 I 201 E. 1 S. 203 mit Hinweisen), wobei insoweit an die Begründung der Beschwerde strengere Anforderungen gestellt werden (vgl. dazu BGE 134 II 244 E. 2 S. 245 ff.).</w:t>
      </w:r>
    </w:p>
    <w:p>
      <w:r>
        <w:t>Eine Verletzung verfassungsmässiger Rechte, namentlich des Willkürverbots, wird in der Beschwerde weder behauptet noch lässt sich ein solcher Mangel erkennen. Wird jedoch eine Verletzung von Bundesrecht nicht gerügt und der Vorinstanz zwar eine Verletzung des kantonalen Verfahrensrechts, nicht aber von Verfassungsrecht vorgeworfen, ist die Beschwerde bezüglich der Höhe der Parteientschädigung für das kantonale Verfahren nicht hinreichend begründet ( Art. 42 Abs. 2 BGG ; BGE 134 II 244 E. 2 S. 245 ff.), weshalb in diesem Punkt auf das Rechtsmittel nicht einzutreten ist.</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