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9C_430/2010 vom 23. November 2010</w:t>
      </w:r>
    </w:p>
    <w:p>
      <w:r>
        <w:t>Bundesgericht, 2010-11-23, DE</w:t>
      </w:r>
    </w:p>
    <w:p>
      <w:r>
        <w:rPr>
          <w:b/>
        </w:rPr>
        <w:t xml:space="preserve">Quelle: </w:t>
      </w:r>
      <w:r>
        <w:t>https://mcp.opencaselaw.ch/entscheid/bger_9C_430_2010</w:t>
      </w:r>
    </w:p>
    <w:p>
      <w:r>
        <w:t>FR: TF 9C_430/2010 du 23 novembre 2010</w:t>
      </w:r>
    </w:p>
    <w:p>
      <w:r>
        <w:t>IT: TF 9C_430/2010 del 23 novembre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Das kantonale Gericht hat die gesetzliche Bestimmung zum Anspruch auf medizinische Massnahmen der Invalidenversicherung ( Art. 12 Abs. 1 IVG in der bis Ende 2007 gültig gewesenen Fassung) und die hiezu ergangene Rechtsprechung richtig dargelegt ( BGE 120 V 277 E. 3a S. 279 mit Hinweisen). Korrekt erwähnt der angefochtene Entscheid die zur Behandlung psychischer Leiden erlassenen Verwaltungsweisungen (Rz. 645-647 / 845-847 des Kreisschreibens des BSV über die medizinischen Eingliederungsmassnahmen [KSME]). Darauf wird verwiesen. Zu ergänzen ist, dass sich bei nichterwerbstätigen Minderjährigen die Invalidität nach Art. 8 Abs. 2 ATSG bestimmt, gemäss welcher Regelung dieselben als invalid gelten, wenn die Beeinträchtigung ihrer körperlichen, geistigen oder psychischen Gesundheit voraussichtlich eine ganze oder teilweise Erwerbsunfähigkeit zur Folge haben wird. Daraus ergeben sich spezifische Anspruchsvoraussetzungen für medizinische Vorkehren bei Jugendlichen (AHI 2003 S. 103 E. 2).</w:t>
      </w:r>
    </w:p>
    <w:p>
      <w:r>
        <w:rPr>
          <w:b/>
        </w:rPr>
        <w:t>E. 2.2</w:t>
      </w:r>
    </w:p>
    <w:p>
      <w:r>
        <w:t>Die Rechtsprechung zu den medizinischen Massnahmen stützt sich auf Art. 12 IVG , wonach nur solche Vorkehren von der Invalidenversicherung zu übernehmen sind, die "nicht auf die Behandlung des Leidens an sich", also nicht auf die Heilung oder Linderung labilen pathologischen Geschehens gerichtet sind. Während dies bei Erwachsenen ohne weiteres galt, sind bei Jugendlichen - ihrer körperlichen und geistigen Entwicklungsphase Rechnung tragend - medizinische Vorkehren trotz des einstweilen noch labilen Leidenscharakters von der Invalidenversicherung zu übernehmen, wenn ohne diese in absehbarer Zeit eine Heilung mit Defekt oder ein sonst wie stabilisierter Zustand einträte, wodurch die Berufsbildung oder die Erwerbsfähigkeit oder beide beeinträchtigt würden ( BGE 98 V 214 E. 2; 105 V 19 S. 20). Die Invalidenversicherung hat daher bei Jugendlichen - die Erfüllung der übrigen Voraussetzungen vorbehalten - nicht nur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Diese Rechtsprechung wurde wiederholt bestätigt (vgl. beispielsweise BGE 105 V 19 S. 20; AHI 2000 S. 63 E. 1, AHI 2003 S. 103 E. 2; Urteil I 23/04 vom 23. September 2004 E. 4.1).</w:t>
      </w:r>
    </w:p>
    <w:p>
      <w:r>
        <w:rPr>
          <w:b/>
        </w:rPr>
        <w:t>E. 2.3</w:t>
      </w:r>
    </w:p>
    <w:p>
      <w:r>
        <w:t>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102 V 40 E. 1 S. 41; Urteil I 390/04 vom 13. Dezember 2004 E. 1.2).</w:t>
      </w:r>
    </w:p>
    <w:p>
      <w:r>
        <w:rPr>
          <w:b/>
        </w:rPr>
        <w:t>E. 3</w:t>
      </w:r>
    </w:p>
    <w:p>
      <w:r>
        <w:t>Streitig und zu prüfen ist, ob die Versicherte auch noch nach sechsjähriger, von der Invalidenversicherung übernommener ambulanter Psychotherapie weiterhin Anspruch auf diese medizinische Massnahmen hat.</w:t>
      </w:r>
    </w:p>
    <w:p>
      <w:r>
        <w:rPr>
          <w:b/>
        </w:rPr>
        <w:t>E. 3.1</w:t>
      </w:r>
    </w:p>
    <w:p>
      <w:r>
        <w:t>Die Vorinstanz hat dazu erwogen, aus dem Bericht der Psychotherapeutin SPV, SGST O.________ vom 21. Februar 2009 zeige sich eindeutig, dass die Probleme der Versicherten nicht zur Hauptsache in der Schule bestehen. Durch die Psychotherapie werde vorab das Zusammenleben mit gleichaltrigen und erwachsenen Personen geschult und der Beschwerdeführerin eine Anleitung zur Konfliktbewältigung aufgezeigt. Dass eine solche Therapie selbstverständlich auch einen Einfluss auf die schulischen Leistungen haben dürfte, sei zwar nicht von der Hand zu weisen; sie diene aber vordergründig der Behandlung des Leidens an sich und nicht primär der beruflichen Eingliederung. Zudem sei die Dauer der Therapie an sich unbegrenzt und dürfte sich noch über mehrere Jahre hinziehen.</w:t>
      </w:r>
    </w:p>
    <w:p>
      <w:r>
        <w:rPr>
          <w:b/>
        </w:rPr>
        <w:t>E. 3.2</w:t>
      </w:r>
    </w:p>
    <w:p>
      <w:r>
        <w:t>Die Beschwerdeführerin macht geltend, um die Aussicht auf einen Schulabschluss und eine Berufslehre oder -anlehre zu gewährleisten, sei die Fortsetzung der Psychotherapie dringend notwendig. Entgegen dem in der angefochtenen Verfügung berücksichtigten und von der Vorinstanz erwähnten Bericht der Psychotherapeutin O.________ vom 21. Februar 2009, gehe aus dem Bericht der Psychotherapeutin vom 2. April 2009 der Eingliederungszweck ins Erwerbsleben klar hervor. Indem die Vorinstanz den erwähnten, im konkreten Fall sehr relevanten Bericht mit keinem Wort würdige, sei von einer unvollständigen Sachverhaltsfeststellung auszugehen.</w:t>
      </w:r>
    </w:p>
    <w:p>
      <w:r>
        <w:rPr>
          <w:b/>
        </w:rPr>
        <w:t>E. 3.3</w:t>
      </w:r>
    </w:p>
    <w:p>
      <w:r>
        <w:t>Aus den Akten ergibt sich, dass die Psychotherapeutin O.________ in ihrem Bericht vom 2. April 2009 ausdrücklich ausgeführt hatte, um die Aussicht auf einen Schulabschluss und eine Berufslehre oder -anlehre zu gewährleisten, sei die Fortführung der Psychotherapie dringend notwendig. Darin wurde zudem festgehalten, die erzielten Fortschritte, insbesondere auch seit September 2008, würden auf die Wahrscheinlichkeit einer wesentlichen und für die Berufsaussichten der Versicherten ausschlaggebenden Verbesserung hinweisen. Die Psychotherapeutin präzisierte, die Therapie sei erst am Anfang, wobei ohne Fortführung derselben die Versicherte immer wieder sowohl aus der Schule als auch aus ihrer Wohngruppe weggehen wollen würde.</w:t>
      </w:r>
    </w:p>
    <w:p>
      <w:r>
        <w:rPr>
          <w:b/>
        </w:rPr>
        <w:t>E. 3.4</w:t>
      </w:r>
    </w:p>
    <w:p>
      <w:r>
        <w:t>Zwar trifft es zu, dass die Vorinstanz den zweiten ausführlichen schulbezogenen Bericht der Psychotherapeutin O.________ vom 2. April 2009 nicht erwähnt und ihre Würdigung somit nur auf jenen vom 21. Februar 2009 gestützt hat. Damit hat sie den Sachverhalt insofern unvollständig festgestellt, als sie nicht alle relevanten Berichte in die Beweiswürdigung einbezogen und ihrer Schlussfolgerung unterlegt hat. Das führt jedoch nicht ohne weiteres zur Bundesrechtswidrigkeit des angefochtenen Entscheides in seinem Ergebnis, worauf es allein ankommt (vgl. Art. 97 Abs. 1 in fine BGG). Vielmehr fragt sich, ob die vorinstanzlichen Sachverhaltsfeststellungen, die Psychotherapie diene im Falle der Beschwerdeführerin vorab der Leidensbehandlung und es liege eine zeitlich unbegrenzte Therapie vor, offensichtlich unrichtig sind, wenn zusätzlich der Bericht der Psychotherapeutin O.________ vom 2. April 2009 berücksichtigt wird, wie es das Gebot umfassender Beweiswürdigung verlangt. Diese Frage ist zu verneinen. Dass die Therapie auch gewisse schulische Fortschritte gebracht haben mag und unerlässlich ist, um die Beschwerdeführerin in der Schule behalten zu können, ändert in der Tat nichts daran, dass die Invalidenversicherung vom 1. Dezember 2002 bis 30. November 2008, somit während vollen sechs Jahren, Psychotherapie als medizinische Massnahme nach Art. 12 IVG gewährt hat und aller Wahrscheinlichkeit nach über weitere Jahre hin erbringen müsste. In Anbetracht dieses zeitlichen Umfanges der Dauertherapie kann der Schluss der Vorinstanz, es liege nach sechs Therapiejahren nunmehr eine zeitlich unbeschränkte und daher den Rahmen von Art. 12 IVG übersteigende Behandlung vor, nicht als bundesrechtswidrig bezeichnet werden.</w:t>
      </w:r>
    </w:p>
    <w:p>
      <w:r>
        <w:rPr>
          <w:b/>
        </w:rPr>
        <w:t>E. 4</w:t>
      </w:r>
    </w:p>
    <w:p>
      <w:r>
        <w:t>Dem Gesuch der Beschwerdeführerin um unentgeltliche Rechtspflege ist stattzugeben, da die gesetzlichen Voraussetzungen erfüllt sind ( Art. 64 Abs. 1 BGG ). Die Beschwerdeführerin wird jedoch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