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429/2017 vom 30. August 2017</w:t>
      </w:r>
    </w:p>
    <w:p>
      <w:r>
        <w:t>Bundesgericht, 2017-08-30, DE</w:t>
      </w:r>
    </w:p>
    <w:p>
      <w:r>
        <w:rPr>
          <w:b/>
        </w:rPr>
        <w:t xml:space="preserve">Quelle: </w:t>
      </w:r>
      <w:r>
        <w:t>https://mcp.opencaselaw.ch/entscheid/bger_9C_429_2017</w:t>
      </w:r>
    </w:p>
    <w:p>
      <w:r>
        <w:t>FR: TF 9C 429/2017 du 30 août 2017</w:t>
      </w:r>
    </w:p>
    <w:p>
      <w:r>
        <w:t>IT: TF 9C 429/2017 del 30 agosto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(Urteile 9C_391/2015 vom 28. Januar 2016 E. 1; 9C_753/2015 vom 20. April 2016 E. 1).</w:t>
      </w:r>
    </w:p>
    <w:p>
      <w:r>
        <w:rPr>
          <w:b/>
        </w:rPr>
        <w:t>E. 2</w:t>
      </w:r>
    </w:p>
    <w:p>
      <w:r>
        <w:t>Die Vorinstanz hat dem von ihr eingeholten psychiatrischen Gutachten der Academy of Swiss Insurance Medicine (asim) vom 16. Dezember 2016 und dessen Ergänzung vom 20. April 2017 Beweiskraft beigemessen und gestützt darauf festgestellt, dass die Versicherte arbeitsunfähig im ersten Arbeitsmarkt sei und seit der Rentenzusprache keine stabile (gesundheitliche) Verbesserung eingetreten sei. Folglich hat sie die Rentenaufhebung für unzulässig gehalten. Weiter hat sie die IV-Stelle verpflichtet, die Kosten für das Gerichtsgutachten (Fr. 6'186.10) und dessen Ergänzung (Fr. 4'620.-) zu übernehmen. Sodann hat das kantonale Gericht erwogen, in Bezug auf die Zusprache eines Rollstuhls vom 5. Februar 2007 fehle es an einem Rückkommenstitel, weshalb die Verfügung vom 16. September 2014 aufzuheben sei. Eine Rückforderung bedürfe in materieller Hinsicht ergänzender Abklärungen.</w:t>
      </w:r>
    </w:p>
    <w:p>
      <w:r>
        <w:rPr>
          <w:b/>
        </w:rPr>
        <w:t>E. 3.1.1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3.1.2</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w:t>
      </w:r>
    </w:p>
    <w:p>
      <w:r>
        <w:rPr>
          <w:b/>
        </w:rPr>
        <w:t>E. 3.1.3</w:t>
      </w:r>
    </w:p>
    <w:p>
      <w:r>
        <w:t>Das Gericht weicht bei Gerichtsgutachten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 BGE 125 V 351 E. 3b/aa S. 352 f. mit Hinweis; SVR 2015 UV Nr. 4 S. 13, 8C_159/2014 E. 3.2; Urteil 9C_278/2016 vom 22. Juli 2016 E. 3.2.3).</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w:t>
      </w:r>
    </w:p>
    <w:p>
      <w:r>
        <w:t>Die Vorinstanz hat die von der IV-Stelle veranlasste psychiatrische Expertise des Dr. med. B.________ vom 17. Januar 2011 "als nicht ausreichende medizinische Grundlage erachtet" und deshalb ein Gerichtsgutachten veranlasst. Bereits im Schreiben vom 31. März 2016 legte sie dar, dass es um eine Oberbegutachtung gehe, um zu erfahren, "ob bzw. welcher der divergierenden Einschätzungen die Gerichtsexpertise aus medizinischer Sicht folgt bzw. wie die Beschwerden der Beschwerdeführerin (...) eingeschätzt werden". Im Rahmen der Beweiswürdigung hat das kantonale Gericht insbesondere festgestellt, in der Anamnese- und Befunderhebung durch Dr. med. B.________ seien Hinweise auf selbstschädigende Handlungen jedenfalls nicht im effektiven Ausmass enthalten. Er habe seine Diagnosen aufgrund eines "nicht umfassenden Sachverhalts" gestellt und daher die Schwere der Persönlichkeitsstörung nicht vollumfänglich erfasst. Verschiedene Tatsachen seien ihm mindestens nicht in vollem Umfang bekannt gewesen oder von ihm nicht umfassend gewürdigt worden. Dass diese Feststellungen offensichtlich unrichtig sein oder auf einer Rechtsverletzung beruhen sollen, ist nicht ersichtlich und wird auch nicht geltend gemacht, weshalb sie für das Bundesgericht verbindlich bleiben (E. 1). Damit hat die Vorinstanz konkrete Indizien gegen die Zuverlässigkeit des Administrativgutachtens (E. 3.1.2) benannt und nachvollziehbar begründet, weshalb es nicht darauf abgestellt und eine weitere Expertise eingeholt hat. Hinzu kommt, dass die Versicherte gegenüber dem Gutachter erwähnte, seit "ca." Sommer 2010 durch Frau Dr. med. C.________ regelmässig psychiatrisch-psychotherapeutisch behandelt zu werden. Ein entsprechender Bericht war nicht aktenkundig, und der Experte verzichtete auf eine Rücksprache mit der behandelnden Ärztin. Zu deren ausführlichem Bericht vom 7. September 2011 bezog er zwar nachträglich Stellung (Schreiben vom 22. März und 11. Juli 2012). Dennoch fehlt - bei im Wesentlichen übereinstimmenden Diagnosen - eine fundierte Auseinandersetzung des Dr. med. B.________ mit den diametral entgegengesetzten Einschätzungen der behandelnden Ärzte (vgl. auch Bericht des Dr. med. D.________ vom 26. November 2010 und Schreiben der Frau Dr. med. C.________ vom 10. Oktober 2012). Auch aus diesem Grund war die Notwendigkeit des Gerichtsgutachtens gegeben.</w:t>
      </w:r>
    </w:p>
    <w:p>
      <w:r>
        <w:rPr>
          <w:b/>
        </w:rPr>
        <w:t>E. 3.4.1</w:t>
      </w:r>
    </w:p>
    <w:p>
      <w:r>
        <w:t>Die IV-Stelle rügt eine Verletzung ihres Anspruchs auf rechtliches Gehör ( Art. 29 Abs. 2 BV ). Die Vorinstanz habe zu Unrecht die in ihrer Eingabe vom 18. März 2016 formulierten Ergänzungsfragen nicht der Gerichtsexpertin zur Beantwortung unterbreitet. Auch mit der Weiterleitung ihrer Stellungnahme zum Gerichtsgutachten sei die Expertin nicht gehalten gewesen, die Fragen zu beantworten.</w:t>
      </w:r>
    </w:p>
    <w:p>
      <w:r>
        <w:rPr>
          <w:b/>
        </w:rPr>
        <w:t>E. 3.4.2</w:t>
      </w:r>
    </w:p>
    <w:p>
      <w:r>
        <w:t>Grundsätzlich ist es Sache der verfahrensleitenden Behörde zu entscheiden, ob der Sachverständige mit allfälligen Ergänzungsfragen und/oder Stellungnahmen einer Partei (mündlich oder schriftlich) zu konfrontieren ist, soweit der verfassungsrechtliche Minimalanspruch, sich zumindest nachträglich zum Gutachten äussern zu können, gewahrt wird. Ein solches Vorgehen erscheint regelmässig angezeigt, wenn substanziierte fachliche Einwände gegen die Überzeugungskraft der Expertise vorgebracht werden. Grund hierfür ist, dass die rechtsanwendenden Behörden mangels ausreichender Fachkenntnisse allfällige objektiv-fachliche Mängel in Gutachten nicht immer erkennen können und diese daher aufgrund ihrer Fachspezifität faktisch vorentscheidenden Charakter haben (vgl. BGE 137 V 210 E. 2.5 S. 241; Urteil 2C_487/2013 vom 5. September 2013 E. 2.5.3). Im dargelegten Sinne sind jedoch lediglich die für den Einzelfall erheblichen Fragen weiterzuleiten. Ziel dieser Mitwirkungsmöglichkeit ist eine einzelfalladäquate Fragestellung, welche zur Qualität des Gutachtens wesentlich beitragen kann. Von der Beantwortung von Ergänzungsfragen durch den Experten kann somit abgesehen werden, wenn davon keine neuen Erkenntnisse zu erwarten sind (SVR 2017 IV Nr. 5 S. 10, 9C_634/2015 E. 4.1; Urteil 8C_386/2014 vom 6. Oktober 2014 E. 4.3 mit Hinweis).</w:t>
      </w:r>
    </w:p>
    <w:p>
      <w:r>
        <w:rPr>
          <w:b/>
        </w:rPr>
        <w:t>E. 3.4.3</w:t>
      </w:r>
    </w:p>
    <w:p>
      <w:r>
        <w:t>Der Fragenkatalog des kantonalen Gerichts umfasste im Wesentlichen die von der IV-Stelle in ihrer Eingabe vom 18. März 2016 aufgeworfenen Fragestellungen, auch wenn sie nicht wörtlich übernommen wurden. Sodann legt die Beschwerdeführerin nicht substanziiert dar (vgl. Art. 106 Abs. 2 BGG ), und ist auch nicht ersichtlich, inwiefern einzelfallbezogen entscheidende Fragen offengeblieben sein resp. weitere Abklärung erfordert haben sollen. Die Einwände der Verwaltung in ihrer Stellungnahme vom 23. Februar 2017 wurden gehört. Die Expertin äusserte sich denn auch einlässlich und nachvollziehbar dazu. Somit kann von einer Verletzung des Anspruchs auf rechtliches Gehör keine Rede sein.</w:t>
      </w:r>
    </w:p>
    <w:p>
      <w:r>
        <w:rPr>
          <w:b/>
        </w:rPr>
        <w:t>E. 3.5</w:t>
      </w:r>
    </w:p>
    <w:p>
      <w:r>
        <w:t>Weiter bestreitet die Beschwerdeführerin die Beweiskraft des Gerichtsgutachtens in materieller Hinsicht. Sie wiederholt dabei über weite Teile hinweg wortwörtlich die vor dem kantonalen Gericht mit der Stellungnahme vom 23. Februar 2017 vorgebrachten Argumente, ohne sich mit der vorinstanzlichen Beweiswürdigung (oder der Ergänzung des Gerichtsgutachtens vom 20. April 2017) auseinanderzusetzen. Insoweit ist auf die Beschwerde von vornherein nicht einzugehen (Art. 42 Abs. 1 f. BGG; BGE 134 II 244 E. 2.1 und 2.3 S. 245 ff.; Urteil 8C_699/2016 vom 27. Januar 2017 E. 2.2.1). Im Übrigen sind keine konkreten Anhaltspunkte ersichtlich, dass die Expertin die Rolle eines Herrn E.________ unzutreffend berücksichtigt habe und die falsche Schreibweise ("F.________") im Gerichtsgutachten nicht lediglich auf einem Diktatverhören beruhen soll. Ebenso leuchtet die Erklärung ein, ein Aktenauszug sei zwar erstellt, aber versehentlich nicht mit dem Gerichtsgutachten versandt worden, zeugen doch die bereits in diesem enthaltenen Ausführungen von umfassender Aktenkenntnis.</w:t>
      </w:r>
    </w:p>
    <w:p>
      <w:r>
        <w:rPr>
          <w:b/>
        </w:rPr>
        <w:t>E. 3.6</w:t>
      </w:r>
    </w:p>
    <w:p>
      <w:r>
        <w:t>Nach dem Gesagten hat das kantonale Gericht dem asim-Gutachten vom 16. Dezember 2016 und dessen Ergänzung vom 20. April 2017 zu Recht Beweiskraft beigemessen. Unter den gegebenen Umständen (vgl. insbesondere E. 3.3 und 3.4.3) besteht keine Veranlassung, die Abklärungskosten abweichend von der Vorinstanz zu verlegen (vgl. SVR 2017 IV Nr. 10 S. 25, 8C_483/2016 E. 2.2). Die vorinstanzliche Feststellung betreffend die Arbeitsfähigkeit beruht nicht auf einer Rechtsverletzung. Sie ist auch nicht offensichtlich unrichtig, weshalb sie für das Bundesgericht verbindlich bleibt (E. 1). Folglich ist die Beschwerde auch in Bezug auf den Rentenanspruch unbegründet.</w:t>
      </w:r>
    </w:p>
    <w:p>
      <w:r>
        <w:rPr>
          <w:b/>
        </w:rPr>
        <w:t>E. 4.1</w:t>
      </w:r>
    </w:p>
    <w:p>
      <w:r>
        <w:t>Anspruch auf Hilfsmittel besteht grundsätzlich im Rahmen der im Anhang zur Verordnung des EDI vom 29. November 1976 über die Abgabe von Hilfsmitteln durch die Invalidenversicherung (HVI; SR 831.232.51) aufgeführten Liste, soweit sie für die Fortbewegung, die Herstellung des Kontaktes mit der Umwelt oder für die Selbstsorge notwendig sind ( Art. 2 HVI i.V.m. Art. 14 IVV [SR 831.201] und Art. 21 IVG ). Die Abgabe eines Rollstuhls ist nach Massgabe von Ziff. 9 Anhang HVI vorgesehen.</w:t>
      </w:r>
    </w:p>
    <w:p>
      <w:r>
        <w:rPr>
          <w:b/>
        </w:rPr>
        <w:t>E. 4.2</w:t>
      </w:r>
    </w:p>
    <w:p>
      <w:r>
        <w:t>In Bezug auf die Rückforderung des 2007 zugesprochenen Rollstuhls hat das kantonale Gericht erwogen, über die Häufigkeit des Rollstuhlgebrauchs lägen keine ausreichenden Angaben vor, so dass nicht angenommen werden könne, die Versicherte benötige den Rollstuhl nicht mehr. In formeller Hinsicht sei die Mitteilung vom 5. Februar 2007 nicht aufgehoben worden, und ein entsprechender Rückkommenstitel liege nicht vor. In der angefochtenen Rückforderungsverfügung könne mangels Fristwahrung kein "eigenständiger Revisionstitel" im Sinne von Art. 53 Abs. 1 ATSG erblickt werden, weshalb sie aufzuheben sei. Eine erneute Rückforderung bedürfe ergänzender Abklärungen.</w:t>
      </w:r>
    </w:p>
    <w:p>
      <w:r>
        <w:rPr>
          <w:b/>
        </w:rPr>
        <w:t>E. 4.3</w:t>
      </w:r>
    </w:p>
    <w:p>
      <w:r>
        <w:t>Anders als das kantonale Gericht anzunehmen scheint, schadet nicht, dass die IV-Stelle die Mitteilung vom 5. Februar 2007 nicht ausdrücklich aufhob. Aus der Verfügung vom 16. September 2014 geht unmissverständlich hervor, dass sie auf die Leistungszusprache vom 5. Februar 2007 zurückkam, indem sie die Versicherte zur Rückgabe des leihweise abgegebenen Rollstuhls verpflichtete und einen weiteren Hilfsmittelanspruch verneinte. Als Rückkommenstitel fällt nicht nur eine - von der Vorinstanz verworfene - (prozessuale) Revision im Sinne von Art. 53 Abs. 1 ATSG , sondern auch eine (materielle) Revision nach Art. 17 Abs. 2 ATSG oder eine Wiedererwägung gemäss Art. 53 Abs. 2 ATSG in Betracht (vgl. Urteil 9C_800/2016 vom 9. Mai 2017 E. 2.2). Diesbezüglich enthält der angefochtene Entscheid weder rechtliche Ausführungen noch Feststellungen. Wie die Beschwerdeführerin richtig erkennt, hat das kantonale Gericht hinsichtlich des weiteren Hilfsmittelanspruchs resp. der Notwendigkeit eines Rollstuhls (vgl. E. 4.1) einen ungenügend abgeklärten Sachverhalt angenommen. Sie bestreitet indessen lediglich das Erfordernis weiterer Abklärungen, ohne darzulegen, inwiefern die vorinstanzliche Beweiswürdigung offensichtlich unrichtig sein soll; diese bleibt daher verbindlich (E. 1). Die Vorinstanz hat nicht ausgeführt, welche Beweiserhebungen sie für angezeigt erachtet hat. Bei diesen Gegebenheiten wird sie den massgeblichen Sachverhalt zu ermitteln (vgl. Art. 61 lit. c ATSG ) und über den weiteren Anspruch auf einen Handrollstuhl erneut zu befinden haben. Insoweit ist die Beschwerde begründet.</w:t>
      </w:r>
    </w:p>
    <w:p>
      <w:r>
        <w:rPr>
          <w:b/>
        </w:rPr>
        <w:t>E. 5</w:t>
      </w:r>
    </w:p>
    <w:p>
      <w:r>
        <w:t>Mit dem Entscheid in der Sache wird das Gesuch um aufschiebende Wirkung der Beschwerde gegenstandslos.</w:t>
      </w:r>
    </w:p>
    <w:p>
      <w:r>
        <w:rPr>
          <w:b/>
        </w:rPr>
        <w:t>E. 6</w:t>
      </w:r>
    </w:p>
    <w:p>
      <w:r>
        <w:t>Die Gerichtskosten sind entsprechend dem Ausmass des Obsiegens und Unterliegens aufzuteilen ( Art. 66 Abs. 1 BGG ). Die teilweise obsiegende Beschwerdegegnerin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