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429/2010 vom 9. Juli 2010</w:t>
      </w:r>
    </w:p>
    <w:p>
      <w:r>
        <w:t>Bundesgericht, 2010-07-09, DE</w:t>
      </w:r>
    </w:p>
    <w:p>
      <w:r>
        <w:rPr>
          <w:b/>
        </w:rPr>
        <w:t xml:space="preserve">Quelle: </w:t>
      </w:r>
      <w:r>
        <w:t>https://mcp.opencaselaw.ch/entscheid/bger_9C_429_2010</w:t>
      </w:r>
    </w:p>
    <w:p>
      <w:r>
        <w:t>FR: TF 9C 429/2010 du 9 juillet 2010</w:t>
      </w:r>
    </w:p>
    <w:p>
      <w:r>
        <w:t>IT: TF 9C 429/2010 del 9 luglio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 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 Güngerich, Kommentar zum Bundesgerichtsgesetz, Bern 2007, N. 24 zu Art. 97).</w:t>
      </w:r>
    </w:p>
    <w:p>
      <w:r>
        <w:rPr>
          <w:b/>
        </w:rPr>
        <w:t>E. 2.1</w:t>
      </w:r>
    </w:p>
    <w:p>
      <w:r>
        <w:t>Nicht mehr streitig ist, dass die Beschwerdeführerin keinen Anspruch auf eine Invalidenrente hat. Ebenfalls unbestritten ist, dass die IV-Stelle der Beschwerdeführerin einerseits das nach Erlass des Vorbescheids eingegangene psychiatrische Gutachten des Dr. med. B.________ vom 28. April 2009 vor Verfügungserlass nicht zur Kenntnis brachte und andererseits erst nach Beschwerdeerhebung das von der Allianz Suisse Versicherungs-Gesellschaft (als Krankenversicherer der Beschwerdeführerin) veranlasste Gutachten des arbeitsmedizinischen Zentrums X.________ vom 14. September 2009 beizog, womit sie zwar das rechtliche Gehör verletzte, diese Verletzung aber namentlich mit Blick auf die Prozessökonomie als geheilt betrachtet werden kann. In Frage steht nur mehr, ob die Beschwerdeführerin deshalb im vorinstanzlichen Verfahren trotz Unterliegens ausnahmsweise Anspruch auf eine Parteientschädigung hat.</w:t>
      </w:r>
    </w:p>
    <w:p>
      <w:r>
        <w:rPr>
          <w:b/>
        </w:rPr>
        <w:t>E. 2.2</w:t>
      </w:r>
    </w:p>
    <w:p>
      <w:r>
        <w:t>Trotz Unterliegens der versicherten Person in der Sache kann ihr eine Parteientschädigung zugesprochen werden, soweit die Beschwerdegegnerin die Kosten verursacht hat. Dieser allgemeine Rechtsgrundsatz, wonach jene Partei für die Kosten des Verfahrens aufzukommen hat, welche es verursacht hat, gelangt auch bei der Verletzung des rechtlichen Gehörs zur Anwendung ( BGE 128 V 311 ; SVR 2003 AlV Nr. 2 S. 5 E. 1d). Massgebend für die Kostenfolgen ist, dass der Partei nicht Kosten entstehen, die ihr ohne die Gehörsverletzung nicht entstanden wären ( BGE 133 I 234 ; Urteil 9C_363/2009 vom 18. März 2010).</w:t>
      </w:r>
    </w:p>
    <w:p>
      <w:r>
        <w:rPr>
          <w:b/>
        </w:rPr>
        <w:t>E. 2.3</w:t>
      </w:r>
    </w:p>
    <w:p>
      <w:r>
        <w:t>Die Beschwerdeführerin macht geltend, sie sei gezwungen gewesen, Beschwerde zu erheben, da die IV-Stelle einerseits nach Eingang des von ihr als massgeblich betrachteten psychiatrischen Gutachtens des Dr. med. B.________ weder einen neuen Vorbescheid erlassen noch auf andere Weise das rechtliche Gehör gewährt habe. Zum anderen könne die ausgewiesene und von der Vorinstanz anerkannte Verletzung des Untersuchungsgrundsatzes im Zusammenhang mit dem Gutachten des arbeitsmedizinischen Zentrums X.________ bei den Kostenfolgen nicht unberücksichtigt gelassen werden. Entscheidend ist jedoch, ob der Beschwerdeführerin Mehrkosten entstanden sind, die ohne Verletzung des rechtlichen Gehörs nicht angefallen wären, was insbesondere dann der Fall ist, wenn die Beschwerdeführerin ohne die Gehörsverletzung nicht Beschwerde erhoben hätte. Dies kann hier nicht gesagt werden: In der vorinstanzlichen Replik akzeptierte die Beschwerdeführerin nicht etwa das Gutachten B.________ und Gutachten des arbeitsmedizinischen Zentrums X.________, sondern erhob verschiedene Einwände dazu. Es ist deshalb davon auszugehen, dass sie auch bei früherem Vorliegen der beiden Gutachten Beschwerde erhoben hätte, weshalb ihr mit der Gehörsverletzung keine zusätzlichen Kosten entstanden sind. Eine Parteientschädigung im vorinstanzlichen Verfahren wurde ihr deshalb vom kantonalen Gericht zu Recht nicht zugesprochen.</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