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428/2013 vom 16. Oktober 2013</w:t>
      </w:r>
    </w:p>
    <w:p>
      <w:r>
        <w:t>Bundesgericht, 2013-10-16, FR</w:t>
      </w:r>
    </w:p>
    <w:p>
      <w:r>
        <w:rPr>
          <w:b/>
        </w:rPr>
        <w:t xml:space="preserve">Quelle: </w:t>
      </w:r>
      <w:r>
        <w:t>https://mcp.opencaselaw.ch/entscheid/bger_9C_428_2013</w:t>
      </w:r>
    </w:p>
    <w:p>
      <w:r>
        <w:t>FR: TF 9C 428/2013 du 16 octobre 2013</w:t>
      </w:r>
    </w:p>
    <w:p>
      <w:r>
        <w:t>IT: TF 9C 428/2013 del 16 ottobre 2013</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responsabilité de la recourante, au sens de l' art. 52 LAVS , dans le préjudice subi par l'intimée en raison du non-paiement par X.________ de cotisations sociales afférentes à la période comprise entre août 2006 et décembre 2007.</w:t>
      </w:r>
    </w:p>
    <w:p>
      <w:r>
        <w:rPr>
          <w:b/>
        </w:rPr>
        <w:t>E. 3.1</w:t>
      </w:r>
    </w:p>
    <w:p>
      <w:r>
        <w:t>Selon les premiers juges, la recourante avait été pendant la période déterminante un organe de la société. Son inscription en tant que titulaire de la signature individuelle n'avait jamais été radiée du registre du commerce, en dépit de la "démission en tant que responsable" qu'elle avait adressée à la société le 9 janvier 2007. Cette déclaration était ainsi dénuée de pertinence, d'autant que l'intéressée avait continué par la suite de s'occuper de la gestion des salaires des employés de X.________, établissant et signant les attestations annuelles destinées à l'intimée, y compris celle relative à l'année 2007. En dépit de paiements effectués par la société auprès de l'office des poursuites, les cotisations sociales encore dues après la faillite, pour la période comprise entre août 2006 et décembre 2007, se montaient à 182'271 fr. 20. L'allégation de la recourante selon laquelle ce chiffre serait erroné, étant donné qu'une partie des montants acquittés par X.________ auprès de l'office en question en faveur de l'intimée aurait été reversée à d'autres créanciers, devait être rejetée sur la base des renseignements fournis par le substitut de l'office des poursuites. Il n'y avait donc pas lieu d'ordonner la production, requise par l'intéressée, de l'intégralité du dossier de l'office des poursuites concernant la société ou à tout le moins des parties de ce dossier relatives aux échanges épistolaires et aux avis de crédits/débits. La recourante ne prétendait à raison pas avoir pris toutes les mesures qui s'imposaient pour limiter le dommage subi par l'intimée; son comportement relevait d'une négligence grave et se trouvait en relation de causalité naturelle et adéquate avec celui-ci, si bien que les conditions d'application de l' art. 52 LAVS étaient réalisées.</w:t>
      </w:r>
    </w:p>
    <w:p>
      <w:r>
        <w:rPr>
          <w:b/>
        </w:rPr>
        <w:t>E. 3.2</w:t>
      </w:r>
    </w:p>
    <w:p>
      <w:r>
        <w:t>La recourante se plaint d'une violation de l' art. 52 LAVS . Elle ne se serait plus occupée de la gestion des salaires des employés de X.________ après avoir démissionné le 9 janvier 2007, ainsi que cela ressortait des déclarations faites en audience par R.________. C'est donc à tort que les premiers juges lui auraient reconnu la qualité d'organe de la société pour la période postérieure à cette date. L'instance cantonale aurait également violé son droit d'être entendue en rejetant sa requête d'instruction complémentaire. Ce refus l'aurait privée de la possibilité de démontrer qu'une partie des sommes payées à l'office au profit de l'intimée, lesquelles dépassaient 180'000 fr., avait été versée partiellement à d'autres créanciers et que dès lors le montant de la créance dont faisait état la caisse à son encontre n'était pas établi, respectivement qu'il n'existait pas de lien de causalité entre son comportement et le dommage subi par celle-ci.</w:t>
      </w:r>
    </w:p>
    <w:p>
      <w:r>
        <w:rPr>
          <w:b/>
        </w:rPr>
        <w:t>E. 4.1</w:t>
      </w:r>
    </w:p>
    <w:p>
      <w:r>
        <w:t>La responsabilité subsidiaire au sens de l' art. 52 LAVS suppose que la personne intéressée soit un organe formel ou de fait de l'employeur assujetti à l'obligation de payer des cotisations. Les organes formels d'une société anonyme sont principalement les membres du conseil d'administration ( ATF 132 III 523 consid. 4.5 p. 528). La recourante, qui n'a jamais été inscrite au registre du commerce en tant qu'administratrice ou organe dirigeant de X.________, ne saurait donc être considérée comme responsable au sens de cette disposition légale que si la qualité d'organe de fait doit lui être attribuée pour la période déterminante.</w:t>
      </w:r>
    </w:p>
    <w:p>
      <w:r>
        <w:rPr>
          <w:b/>
        </w:rPr>
        <w:t>E. 4.2</w:t>
      </w:r>
    </w:p>
    <w:p>
      <w:r>
        <w:t>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 ATF 132 III 523 consid. 4.5 p. 528; 114 V 213 consid. 3 p. 214). Conformément à la jurisprudence en matière de responsabilité du droit de la société anonyme, dont les principes s'appliquent dans le cadre de l' art. 52 LAVS ( ATF 114 V 214 consid. 3 p. 214),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 ATF 128 III 29 consid. 3c p. 33). En d'autres termes, la responsabilité pour la gestion ne concerne que la direction supérieure de la société, au plus haut niveau de sa hiérarchie ( ATF 117 II 570 consid. 3 p. 572).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 ATF 114 V 213 consid. 4 p. 214 ss). L'obligation de réparer le dommage au sens de l' art. 52 LAVS intervient en principe seulement si la personne intéressée avait un pouvoir de disposer des cotisations non payées et pouvait effectuer les paiements à la caisse de compensation ( ATF 134 V 401 consid. 5.1 p. 402; 103 V 120 consid. 5 p. 123; Marco Reichmuth, Die Haftung des Arbeitgebers und seiner Organe nach Art. 52 AHVG, 2008, n. 244 ss et 256 ss; cf. arrêt 9C_535/2008 du 3 décembre 2008 consid. 2).</w:t>
      </w:r>
    </w:p>
    <w:p>
      <w:r>
        <w:rPr>
          <w:b/>
        </w:rPr>
        <w:t>E. 4.3</w:t>
      </w:r>
    </w:p>
    <w:p>
      <w:r>
        <w:t>Il suit de ce qui précède que les premiers juges ne pouvaient pas considérer la recourante comme un organe de fait de la société pendant la période litigieuse au motif principal qu'elle était alors inscrite au registre du commerce en tant que titulaire de la signature individuelle et qu'elle avait établi des attestations destinées à l'intimée dans le cadre de la gestion des salaires des employés de X.________. C'est au contraire en fonction du rôle que l'intéressée a effectivement joué au sein de la société, en dehors de l'accomplissement des tâches administratives précitées, qu'ils auraient dû déterminer si elle revêtait cette qualité. La Cour de céans ne peut pas trancher cette question, dès lors que les constatations de fait nécessaires pour l'élucider font défaut. La cause doit donc être renvoyée à l'instance cantonale pour instruction complémentaire et nouveau jugement.</w:t>
      </w:r>
    </w:p>
    <w:p>
      <w:r>
        <w:rPr>
          <w:b/>
        </w:rPr>
        <w:t>E. 5</w:t>
      </w:r>
    </w:p>
    <w:p>
      <w:r>
        <w:t>Sur le vu de ce qui précède, le recours est bien fondé sans qu'il y ait lieu d'examiner l'argumentation de la recourante tirée de la violation du droit d'être entendu. L'intimée, qui succombe, supportera les frais judiciaires ( art. 66 al. 1 LTF ) et versera à la recourante une indemnité de dépens ( art. 68 al. 1 LTF ). Le présent arrêt rend sans objet la demande d'effet suspensif déposée par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