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426/2020 vom 29. April 2021</w:t>
      </w:r>
    </w:p>
    <w:p>
      <w:r>
        <w:t>Bundesgericht, 2021-04-29, DE</w:t>
      </w:r>
    </w:p>
    <w:p>
      <w:r>
        <w:rPr>
          <w:b/>
        </w:rPr>
        <w:t xml:space="preserve">Quelle: </w:t>
      </w:r>
      <w:r>
        <w:t>https://mcp.opencaselaw.ch/entscheid/bger_9C_426_2020</w:t>
      </w:r>
    </w:p>
    <w:p>
      <w:r>
        <w:t>FR: TF 9C 426/2020 du 29 avril 2021</w:t>
      </w:r>
    </w:p>
    <w:p>
      <w:r>
        <w:t>IT: TF 9C 426/2020 del 29 aprile 2021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BGE 133 III 545 E. 2.2; BGE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2</w:t>
      </w:r>
    </w:p>
    <w:p>
      <w:r>
        <w:t>Streitig und zu prüfen ist, ob das kantonale Gericht gegen Bundesrecht verstossen hat, als es für die Zeit ab 1. Mai 2014 einen Anspruch auf eine höhere als eine halbe Rente der Invalidenversicherung verneint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so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w:t>
      </w:r>
    </w:p>
    <w:p>
      <w:r>
        <w:t>Die Beschwerdegegnerin sprach der Versicherten mit Verfügung vom 31. Mai 2016 bei einem Invaliditätsgrad vom 54 % ab 1. Mai 2014 eine halbe Rente der Invalidenversicherung zu. Diese Verfügung wurde in der Folge vom kantonalen Gericht mit Entscheid vom 23. Oktober 2017 aufgehoben und die Sache zu weiteren medizinischen Abklärungen an die Beschwerdegegnerin zurückgewiesen. Da die Verfügung vom 31. Mai 2016 damit nicht in Rechtskraft erwachsen ist, kann bereits aus diesem Grund das damals angenommene Invalideneinkommen für den heutigen Entscheid nicht verbindlich sein. Darüberhinaus ist an den Grundsatz zu erinnern, wonach in aller Regel nur das Dispositiv und nicht einzelne Begründungselemente an der Rechtskraft eines Entscheides teilnehmen - Erwägungen sind nur verbindlich, wenn im Dispositiv auf sie verwiesen wird (vgl. etwa Urteil 8C_477/2019 vom 19. September 2019 E. 2.4). Aus dem in der damaligen Verfügung ausgehend von der tatsächlich ausgeübten Invalidentätigkeit auf Fr. 19'483.- festgesetzten Invalideneinkommen kann die Versicherte somit vorliegend nichts zu ihren Gunsten ableiten.</w:t>
      </w:r>
    </w:p>
    <w:p>
      <w:r>
        <w:rPr>
          <w:b/>
        </w:rPr>
        <w:t>E. 5.1</w:t>
      </w:r>
    </w:p>
    <w:p>
      <w:r>
        <w:t>Es steht fest und ist unbestritten, dass sich der Gesundheitszustand der Versicherten in der Zeit seit der befristeten Rentenzusprache verschlechtert hat und sie nunmehr lediglich noch in der Lage ist, einer leidensangepassten Tätigkeit zu 50 % nachzugehen. Streitig ist demgegenüber die Verwertbarkeit der verbleibenden medizinisch-theoretischen Arbeitsfähigkeit.</w:t>
      </w:r>
    </w:p>
    <w:p>
      <w:r>
        <w:rPr>
          <w:b/>
        </w:rPr>
        <w:t>E. 5.2</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9C_644/2019 vom 20. Januar 2020 E. 4.2 und 8C_759/2018 vom 13. Juni 2019 E. 7.1, je mit Hinweis).</w:t>
      </w:r>
    </w:p>
    <w:p>
      <w:r>
        <w:rPr>
          <w:b/>
        </w:rPr>
        <w:t>E. 5.3</w:t>
      </w:r>
    </w:p>
    <w:p>
      <w:r>
        <w:t>Gemäss den verbindlichen vorinstanzlichen Feststellungen besteht die medizinisch-theoretische Restarbeitsfähigkeit von 50 % für kaufmännische Tätigkeiten in Heimarbeit und ohne Zeit- und Leistungsdruck. Wie das Bundesgericht unlängst entschieden hat, weist der hier massgebliche (theoretische) ausgeglichene Arbeitsmarkt diverse Arbeitsstellen für kaufmännische Angestellte auf, welche grossmehrheitlich von zu Hause aus ausgeführt werden können (vgl. Urteil 9C_15/2020 vom 10. Dezember 2020 E. 6.2.3). Auf dieses Urteil ist jedoch nicht weiter einzugehen, ist die Beschwerdeführerin vorliegend doch auf jeden Fall nicht in der Lage, auch nur sporadisch den Betrieb ihres Arbeitgebers auszusuchen. Damit ist es ihr auch kaum möglich, an einem Vorstellungsgespräch teilzunehmen, womit das Finden einer neuen Stelle stark erschwert wird. Da ihr zudem gemäss den vorinstanzlichen Feststellungen eine Mobilität auch im näheren Radius zu ihrer Wohnung unzumutbar ist, könnte für das Bringen und Holen von Arbeitsunterlagen auch nicht ohne Weiteres auf die Dienste der Post oder anderer Kurierdienste zurückgegriffen werden. Im Weiteren wäre sie selbst bei einer Tätigkeit zu Hause auf einen sehr wohlwollenden Arbeitgeber angewiesen und es dürfte in dieser Tätigkeit keinerlei Leistungsdruck bestehen. Insgesamt erscheint damit das Entgegenkommen, welches ihr von einem Arbeitgeber entgegengebracht werden müsste, als so erheblich, dass das Finden einer entsprechenden Stelle im jetzigen Zeitpunkt (vgl. allerdings im Hinblick auf spätere Beurteilungen auch die Schadenminderungspflicht gemäss Art. 7 IVG ) zum Vornherein als unrealistisch erscheint.</w:t>
      </w:r>
    </w:p>
    <w:p>
      <w:r>
        <w:rPr>
          <w:b/>
        </w:rPr>
        <w:t>E. 5.4</w:t>
      </w:r>
    </w:p>
    <w:p>
      <w:r>
        <w:t>Demnach hat das kantonale Gericht Bundesrecht verletzt, als es die Möglichkeit der Beschwerdeführerin, das ihr verbliebene Leistungsvermögen in einer kaufmännischen Tätigkeiten in Heimarbeit und ohne Zeit- und Leistungsdruck auf dem allgemeinen ausgeglichenen Arbeitsmarkt zu verwerten, bejahte. Zwar räumt die Versicherte ein, sie wäre unter Umständen in der Lage, als niederqualifizierte Callcenter-Agentin ein Einkommen von Fr. 20'000.- zu erzielen; ob ihr eine entsprechende Stellensuche mit Blick auf obstehende Erwägungen zumutbar wäre, braucht jedoch nicht abschliessend geprüft zu werden. Selbst bei einem Invalideneinkommen von Fr. 20'000.- resultierte bei einem Valideneinkommen gemäss der angefochtenen Verfügung vom 7. Januar 2020 von Fr. 74'872.- ein Invaliditätsgrad von über 70 %, womit so oder anders Anspruch auf eine ganze Rente der Invalidenversicherung besteht. Entsprechend ist die Beschwerde gutzuheissen und der Versicherten ist unter Anpassung der Verfügung und des kantonalen Gerichtsentscheides ab 1. Mai 2014 eine ganze Rente der Invalidenversicherung zuzusprechen.</w:t>
      </w:r>
    </w:p>
    <w:p>
      <w:r>
        <w:rPr>
          <w:b/>
        </w:rPr>
        <w:t>E. 6</w:t>
      </w:r>
    </w:p>
    <w:p>
      <w:r>
        <w:t>Dem Verfahrensausgang entsprechend sind die Gerichtskosten der unterliegenden Beschwerdegegnerin aufzuerlegen ( Art. 66 Abs. 1 Satz 1 BGG ), welche der Beschwerdeführerin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