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425/2024 vom 10. Januar 2025</w:t>
      </w:r>
    </w:p>
    <w:p>
      <w:r>
        <w:t>Bundesgericht, 2025-01-10, FR</w:t>
      </w:r>
    </w:p>
    <w:p>
      <w:r>
        <w:rPr>
          <w:b/>
        </w:rPr>
        <w:t xml:space="preserve">Quelle: </w:t>
      </w:r>
      <w:r>
        <w:t>https://mcp.opencaselaw.ch/entscheid/bger_9C_425_2024</w:t>
      </w:r>
    </w:p>
    <w:p>
      <w:r>
        <w:t>FR: TF 9C 425/2024 du 10 janvier 2025</w:t>
      </w:r>
    </w:p>
    <w:p>
      <w:r>
        <w:t>IT: TF 9C 425/2024 del 10 gennaio 2025</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de l'assuré à une rente de l'assurance-invalidité, dans le cadre de la nouvelle demande de prestations déposée en juillet 2020 (cf. art. 17 al. 1 LPGA , applicable par analogie, en lien avec l' art. 87 al. 2 et 3 RAI ; voir aussi ATF 147 V 167 consid. 4.1; 133 V 108 consid. 5 et les arrêts cités). Il s'agit singulièrement de déterminer si la juridiction cantonale était en droit de nier que l'état de santé de l'assuré se fût modifié dans une mesure ayant une incidence sur le droit à la rente depuis la décision administrative du 23 janvier 2020, en se fondant sur l'expertise de CEMEDEX SA, à laquelle elle a accordé une pleine valeur probante.</w:t>
      </w:r>
    </w:p>
    <w:p>
      <w:r>
        <w:rPr>
          <w:b/>
        </w:rPr>
        <w:t>E. 3</w:t>
      </w:r>
    </w:p>
    <w:p>
      <w:r>
        <w:t>Le recourant fait valoir que l'expertise de CEMEDEX SA serait dépourvue de valeur probante pour le motif, en particulier, qu'un interprète n'avait pas été présent lors des examens rhumatologique et pneumologique. Il rappelle qu'il avait expressément sollicité la présence d'un interprète en langue turque, et que sa requête avait été acceptée dès lors qu'il ne s'exprimait pour ainsi dire pas du tout en langue française et qu'il ne comprenait pas cette langue. Cela étant, bien que convoqué, l'expert ne s'était pas présenté le jour de l'expertise. L'assuré explique également que les experts concernés admettaient qu'il y avait eu un problème de communication entre eux et l'assuré. Dès lors que la présence d'un interprète était absolument indispensable et dans la mesure où le "résultat de l'expertise" a eu une influence déterminante sur l'issue du litige, le recourant soutient que ses droits les plus élémentaires ont été bafoués.</w:t>
      </w:r>
    </w:p>
    <w:p>
      <w:r>
        <w:rPr>
          <w:b/>
        </w:rPr>
        <w:t>E. 4.1</w:t>
      </w:r>
    </w:p>
    <w:p>
      <w:r>
        <w:t>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9C_262/2015 du 8 janvier 2016 consid. 5.1 et les arrêts cités).</w:t>
      </w:r>
    </w:p>
    <w:p>
      <w:r>
        <w:rPr>
          <w:b/>
        </w:rPr>
        <w:t>E. 4.2</w:t>
      </w:r>
    </w:p>
    <w:p>
      <w:r>
        <w:t>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uniquement à l'aune de l'inexactitude manifeste et de la violation du droit au sens de l' art. 95 LTF (consid. 1 supra; arrêt 9C_262/2015 précité consid. 5.2). À cet égard,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et les arrêts cités). L'appréciation des preuves doit être arbitraire non seulement en ce qui concerne les motifs évoqués par la juridiction cantonale pour écarter un moyen de preuve, mais également dans son résultat ( ATF 137 I 1 consid. 2.4; 136 I 316 consid. 2.2.2).</w:t>
      </w:r>
    </w:p>
    <w:p>
      <w:r>
        <w:rPr>
          <w:b/>
        </w:rPr>
        <w:t>E. 5</w:t>
      </w:r>
    </w:p>
    <w:p>
      <w:r>
        <w:t>En l'occurrence, les constatations de la juridiction cantonale quant à une compréhension suffisante entre le recourant et les experts rhumatologue et pneumologue pour que ces derniers puissent obtenir les informations nécessaires à l'appréciation de la situation malgré l'absence d'un interprète se révèlent insoutenables. En effet, à la lecture du rapport d'évaluation consensuelle du 8 novembre 2022, on constate que les experts ont considéré que l'assuré ne pouvait pas être expertisé sans interprète car il ne s'exprime dans aucune langue nationale, bien qu'il soit en Suisse depuis de nombreuses années. On ajoutera que le docteur B.________, spécialiste en médecine interne générale, a indiqué que l'assuré ne s'était pas exprimé une seule fois en français au cours de l'expertise qu'il avait effectuée en présence d'une interprète turque et qu'il n'avait pas eu l'impression que l'expertisé comprenait, au moins partiellement, certaines questions posées (rapport d'expertise de médecine interne générale, ch. 4.2 p. 21). Pour leur part, les docteurs C.________, spécialiste en rhumatologie, et D.________, spécialiste en médecine interne générale et en pneumologie, ont relevé l'absence du traducteur prévu et indiqué que l'assuré s'exprimait mal en français (rapport d'expertise rhumatologique, ch. 4.2 p. 28), respectivement qu'il comprenait très mal le français (rapport d'expertise pneumologique, ch. 4.2 p. 35). Dans ces circonstances, l'absence d'un traducteur durant l'entretien est de nature à susciter une incertitude quant à la pertinence des constatations des docteurs C.________ et D.________. À ce stade de la procédure, on ne saurait s'accommoder de ce manquement, si bien que la cause doit être renvoyée à l'office intimé afin que les expertises rhumatologique et pneumologique puissent se dérouler intégralement dans la langue maternelle du recourant ou avec l'aide d'un interprète. En ce sens, le recours sera partiellement admis, sans qu'il n'y ait lieu d'examiner les autres griefs soulevés par l'assuré, en relation notamment avec son impossibilité de "retrouve[r] une activité lucrative". La conclusion subsidiaire du recours se révèle bien fondée.</w:t>
      </w:r>
    </w:p>
    <w:p>
      <w:r>
        <w:rPr>
          <w:b/>
        </w:rPr>
        <w:t>E. 6</w:t>
      </w:r>
    </w:p>
    <w:p>
      <w:r>
        <w:t>Vu le renvoi ordonné, qui revient à donner gain de cause au recourant, les frais judiciaires doivent être mis à la charge de l'office intimé ( art. 66 al. 1 LTF ). Celui-ci versera par ailleurs une indemnité de dépens à l'assuré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