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425/2008 vom 21. November 2008</w:t>
      </w:r>
    </w:p>
    <w:p>
      <w:r>
        <w:t>Bundesgericht, 2008-11-21, FR</w:t>
      </w:r>
    </w:p>
    <w:p>
      <w:r>
        <w:rPr>
          <w:b/>
        </w:rPr>
        <w:t xml:space="preserve">Quelle: </w:t>
      </w:r>
      <w:r>
        <w:t>https://mcp.opencaselaw.ch/entscheid/bger_9C_425_2008</w:t>
      </w:r>
    </w:p>
    <w:p>
      <w:r>
        <w:t>FR: TF 9C 425/2008 du 21 novembre 2008</w:t>
      </w:r>
    </w:p>
    <w:p>
      <w:r>
        <w:t>IT: TF 9C 425/2008 del 21 novembre 2008</w:t>
      </w:r>
    </w:p>
    <w:p>
      <w:pPr>
        <w:pStyle w:val="Heading2"/>
      </w:pPr>
      <w:r>
        <w:t>Regeste</w:t>
      </w:r>
    </w:p>
    <w:p>
      <w:r>
        <w:t>Assurance-invalidité | Assurance-invalidité</w:t>
      </w:r>
    </w:p>
    <w:p>
      <w:pPr>
        <w:pStyle w:val="Heading2"/>
      </w:pPr>
      <w:r>
        <w:t>Erwägungen</w:t>
      </w:r>
    </w:p>
    <w:p>
      <w:r>
        <w:rPr>
          <w:b/>
        </w:rPr>
        <w:t>E. 1</w:t>
      </w:r>
    </w:p>
    <w:p>
      <w:r>
        <w:t>Est à nouveau litigieux en instance fédérale le montant des indemnités journalières auxquelles a droit le recourant pendant le reclassement professionnel accordé par l'assurance-invalidité, singulièrement le revenu déterminant à prendre en considération pour le calcul de celles-ci. Le jugement entrepris expose correctement les règles légales applicables au litige, si bien qu'il suffit d'y renvoyer.</w:t>
      </w:r>
    </w:p>
    <w:p>
      <w:r>
        <w:rPr>
          <w:b/>
        </w:rPr>
        <w:t>E. 2</w:t>
      </w:r>
    </w:p>
    <w:p>
      <w:r>
        <w:t>Se référant au considérant 6.2 de l'arrêt 9C_420/2007 du Tribunal fédéral du 2 novembre 2007, la juridiction cantonale a retenu qu'il n'y avait pas lieu d'ajouter au salaire horaire de 29 fr. 45 le 13e salaire, déjà compris dans ce montant. Elle a en a déduit que le montant fixé par la caisse comme revenu à prendre en considération pour le calcul des indemnités journalières (159 fr.) et l'indemnité journalière qui en résultait (127 fr. 20) avaient correctement été déterminés, de sorte que les décisions litigieuses devaient être confirmées. La manière de procéder de la juridiction cantonale relève d'une application erronée des considérants de l'arrêt 9C_420/2007 relatifs à l' art. 21bis al. 3 let. b RAI , comme le fait valoir à juste titre le recourant en invoquant une violation de cette disposition. Le 2 novembre 2007, le Tribunal fédéral a jugé (consid. 6.2 de l'arrêt cité) de manière définitive que le salaire horaire mentionné par l'ancien employeur, à savoir 29 fr. 45, ne comprenait pas une part correspondant au 13e salaire. Il a retenu en conséquence que le 13e salaire mensuel aurait dû être ajouté au salaire annuel obtenu après multiplication du salaire horaire par le nombre d'heures de travail par semaine, puis par 52 semaines. Il ressort de ces considérants - contrairement à ce qu'a retenu l'autorité cantonale de recours tout en s'y référant -, que le 13e salaire doit être ajouté au salaire horaire de 29 fr. 45. Il convient dès lors de renvoyer à nouveau la cause à la juridiction cantonale afin qu'elle procède au calcul du revenu déterminant pour fixer les indemnités journalières dues à l'intimé, dans lequel elle aura à ajouter la part correspondant au 13e salaire au revenu horaire de 29 fr. 45 (conformément à l' art. 21bis al. 3 let. b RAI ), et rende une nouvelle décision.</w:t>
      </w:r>
    </w:p>
    <w:p>
      <w:r>
        <w:rPr>
          <w:b/>
        </w:rPr>
        <w:t>E. 3</w:t>
      </w:r>
    </w:p>
    <w:p>
      <w:r>
        <w:t>En principe, des frais judiciaires et des dépens ne peuvent être mis à la charge d'un canton s'il s'adresse au Tribunal fédéral dans l'exercice de ses attributions officielles sans que son intérêt patrimonial soit en cause ou si ses décisions font l'objet d'un recours ( art. 66 al. 4 LTF en relation avec l' art. 68 al. 4 LTF ). Toutefois, il y a lieu de déroger à ce principe lorsque la décision attaquée viole de manière qualifiée les règles d'application de la justice et cause de ce fait des frais aux parties ( art. 66 al. 3 LTF ; ATF 133 V 402 consid. 5 p. 407 et les arrêts cités; Seiler/von Werdt/Güngerich, Bundesgerichtsgesetz [BGG], Berne 2007, n. 43 ad art. 66; Thomas Geiser, Basler Kommentar zum Bundesgerichtsgesetz, Bâle 2008, n. 25 ad art. 66). En ne se conformant pas aux considérants de l'arrêt de renvoi du 2 novembre 2007, le Tribunal cantonal des assurances sociales du canton du Valais a méconnu les instructions du Tribunal fédéral, ce qui justifie de mettre les frais de justice et les dépens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