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9C_424/2023 vom 12. Juli 2023</w:t>
      </w:r>
    </w:p>
    <w:p>
      <w:r>
        <w:t>Bundesgericht, 2023-07-12, DE</w:t>
      </w:r>
    </w:p>
    <w:p>
      <w:r>
        <w:rPr>
          <w:b/>
        </w:rPr>
        <w:t xml:space="preserve">Quelle: </w:t>
      </w:r>
      <w:r>
        <w:t>https://mcp.opencaselaw.ch/entscheid/bger_9C_424_2023</w:t>
      </w:r>
    </w:p>
    <w:p>
      <w:r>
        <w:t>FR: TF 9C_424/2023 du 12 juillet 2023</w:t>
      </w:r>
    </w:p>
    <w:p>
      <w:r>
        <w:t>IT: TF 9C_424/2023 del 12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xxx 2017 wurde das Konkursverfahren über die Firma B.________ AG mangels Aktiven eingestellt. Mit Verfügungen vom 4. Juli 2019 verpflichtete die Sozialversicherungsanstalt des Kantons Zürich (SVA), Ausgleichskasse, zwei Mitglieder des Verwaltungsrats dieser Gesellschaft, C.________ und A.________, als Solidarhafter Schadenersatz zu bezahlen für die aufgrund des Konkurses entgangenen Beiträge von Fr. 6'203.45. Diese Beiträge gingen auf eine Tätigkeit von D.________ für die Gesellschaft zurück, die nach Auffassung der Ausgleichskasse beitragspflichtig war. Die hiergegen erhobenen kantonalen Rechtsmittel blieben erfolglos (Einspracheentscheid vom 23. Februar 2022; Urteil des Sozialversicherungsgerichts des Kantons Zürich vom 11. April 2023).</w:t>
      </w:r>
    </w:p>
    <w:p>
      <w:r>
        <w:rPr>
          <w:b/>
        </w:rPr>
        <w:t>E. 2</w:t>
      </w:r>
    </w:p>
    <w:p>
      <w:r>
        <w:t>Mit Schreiben vom 20. Juni 2023 (Poststempel 21. Juni 2023) ersuchte A.________ das Bundesgericht um Erstreckung der Beschwerdefrist. Mit eingeschrieben versandter Verfügung vom 22. Juni 2023 informierte das Bundesgericht A.________, dass die Rechtsmittelfrist nicht erstreckt werden kann. Mit Schreiben ("Abweisung / Beschwerde / Einsprache") vom 24. Juni 2023 (Poststempel: 26. Juni 2023) beantragt A.________ sinngemäss die Aufhebung des Urteils des Sozialversicherungsgerichts des Kantons Zürich vom 11. April 2023.</w:t>
      </w:r>
    </w:p>
    <w:p>
      <w:r>
        <w:rPr>
          <w:b/>
        </w:rPr>
        <w:t>E. 3</w:t>
      </w:r>
    </w:p>
    <w:p>
      <w:r>
        <w:t>Die Frist für die Einreichung der Beschwerde beim Bundesgericht beträgt grundsätzlich 30 Tage ( Art. 100 Abs. 1 BGG ). Wie sich aus den Akten ergibt, wurde das angefochtene Urteil am 22. Mai 2023 zugestellt. Das Schreiben vom 24. Juni 2023 (Poststempel: 26. Juni 2023) hält die Beschwerdefrist demnach nicht ein, weshalb auf die Beschwerde nicht einzutreten ist. Ausserdem ist zweifelhaft, ob das Schreiben den formellen Anforderungen an eine Beschwerde an das Bundesgericht ( Art. 42 BGG ) gerecht wird und eine Beschwerde in öffentlich-rechtlichen Angelegenheiten gegen das angefochtene Urteil in Anbetracht des tiefen Streitwerts überhaupt zulässig ist ( Art. 85 Abs. 1 lit. a BGG ; BGE 137 V 51 E. 4.3). Aufgrund der Säumnis brauchen diese Fragen aber nicht vertieft zu werden.</w:t>
      </w:r>
    </w:p>
    <w:p>
      <w:r>
        <w:rPr>
          <w:b/>
        </w:rPr>
        <w:t>E. 4</w:t>
      </w:r>
    </w:p>
    <w:p>
      <w:r>
        <w:t>Auf die Beschwerde ist im vereinfachten Verfahren nach Art. 108 Abs. 1 lit. a und Abs. 2 BGG nicht einzutreten. Auf die Erhebung von Gerichtskosten wird umständehalber verzichtet ( Art. 66 Abs. 1 BGG ).</w:t>
      </w:r>
    </w:p>
    <w:p>
      <w:r>
        <w:t>erkennt der Einzelrichter: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