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9C_424/2016 vom 26. Januar 2017</w:t>
      </w:r>
    </w:p>
    <w:p>
      <w:r>
        <w:t>Bundesgericht, 2017-01-26, DE</w:t>
      </w:r>
    </w:p>
    <w:p>
      <w:r>
        <w:rPr>
          <w:b/>
        </w:rPr>
        <w:t xml:space="preserve">Quelle: </w:t>
      </w:r>
      <w:r>
        <w:t>https://mcp.opencaselaw.ch/entscheid/bger_9C_424_2016</w:t>
      </w:r>
    </w:p>
    <w:p>
      <w:r>
        <w:t>FR: TF 9C_424/2016 du 26 janvier 2017</w:t>
      </w:r>
    </w:p>
    <w:p>
      <w:r>
        <w:t>IT: TF 9C_424/2016 del 26 gennaio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2.1</w:t>
      </w:r>
    </w:p>
    <w:p>
      <w:r>
        <w:t>Streitig und zu prüfen ist, ob die Vorinstanz Bundesrecht verletzte, indem sie die Schadenersatzforderung der Ausgleichskasse in der Höhe von Fr. 98'475.80 geschützt hat. Die einzelnen Haftungsvoraussetzungen nach Art. 52 Abs. 1 (und Abs. 2 erster Satz) AHVG (Organschaft, Schaden, Widerrechtlichkeit [Missachtung von Vorschriften betreffend die Pflicht zur Abrechnung und Bezahlung der Beiträge], Verschulden und adäquater Kausalzusammenhang zwischen vorwerfbarem Verhalten und eingetretenem Schaden) und deren Konkretisierung durch die Rechtsprechung werden im angefochtenen Entscheid richtig wiedergegeben. Darauf wird verwiesen.</w:t>
      </w:r>
    </w:p>
    <w:p>
      <w:r>
        <w:rPr>
          <w:b/>
        </w:rPr>
        <w:t>E. 2.2</w:t>
      </w:r>
    </w:p>
    <w:p>
      <w:r>
        <w:t>Insofern die Beschwerdeführerin (nach Ablauf der Beschwerdefrist) mit Stellungnahme vom 17. Oktober 2016 eine Reduktion der Schadenersatzforderung für die Beiträge betreffend das Jahr 2012 von Fr. 48'900.85 auf Fr. 32'600.55 beantragt, ist dies nicht zulässig. Das Bundesgericht ist an die Begehren der beschwerdeführenden Partei gebunden ( Art. 107 Abs. 1 BGG ).</w:t>
      </w:r>
    </w:p>
    <w:p>
      <w:r>
        <w:rPr>
          <w:b/>
        </w:rPr>
        <w:t>E. 3.1</w:t>
      </w:r>
    </w:p>
    <w:p>
      <w:r>
        <w:t>Die Vorinstanz hat in Bestätigung des Einspracheentscheids vom 26. November 2015 erkannt, der Ausgleichskasse sei ein Schaden in Höhe von Fr. 98'475.80 (AHV-Beiträge für die Zeit von Januar 2012 bis Oktober 2013) entstanden, der durch die Beschwerdeführerin als für die fristgerechte Begleichung der - gemäss Art. 34 Abs. 1 lit. a AHVV monatlich zu entrichtenden - Sozialversicherungsbeiträge verantwortliches (einziges) Organ der Unternehmung schuldhaft verursacht worden sei.</w:t>
      </w:r>
    </w:p>
    <w:p>
      <w:r>
        <w:rPr>
          <w:b/>
        </w:rPr>
        <w:t>E. 3.2</w:t>
      </w:r>
    </w:p>
    <w:p>
      <w:r>
        <w:t>Die Beschwerdeführerin wendet ein, sie sei lediglich bis Ende Juni 2013 Geschäftsführerin der B.________ GmbH gewesen. Danach habe C.________ die Geschäftsführung (vorerst faktisch) übernommen. Dies gehe aus der Vereinbarung vom 1. Juli 2013 klar hervor. Für die Verfehlungen des neuen Geschäftsführers, welcher insbesondere im Jahre 2013 zu hohe Löhne entrichtet und dadurch die AHV-Beiträge nicht mehr habe bezahlen können, müsse sie nicht einstehen. Die Schadenersatzforderung sei deshalb auf die offenen Beiträge betreffend das Jahr 2012 zu reduzieren. Die Vorinstanz habe die Beweise einseitig gewürdigt, indem sie sich einzig auf das Protokoll der ausserordentlichen Gesellschafterversammlung vom 26. November 2013 gestützt und der Vereinbarung vom 1. Juli 2013 nicht Rechnung getragen habe. Damit habe das kantonale Gericht das rechtliche Gehör verletzt und den Sachverhalt offensichtlich unrichtig festgestellt. Der angefochtene Entscheid setze sich des Weiteren nicht mit dem Einwand auseinander, aufgrund der faktischen Geschäftsführung durch C.________ sei von einem schweren Drittverschulden und von einer Unterbrechung des Kausalzusammenhangs auszugehen.</w:t>
      </w:r>
    </w:p>
    <w:p>
      <w:r>
        <w:rPr>
          <w:b/>
        </w:rPr>
        <w:t>E. 4.1</w:t>
      </w:r>
    </w:p>
    <w:p>
      <w:r>
        <w:t>Die Vorinstanz hat nach Würdigung sämtlicher Akten dargelegt, weshalb sie ein faktisches Ausscheiden der Beschwerdeführerin aus der Geschäftsleitung bereits per Ende Juni 2013 als nicht klar ausgewiesen erachte (zur Praxis, wonach für den Nachweis eines solchen Ausscheidens bei unverändert belassenem Handelsregistereintrag ein höherer Beweisgrad als eine überwiegende Wahrscheinlichkeit verlangt ist [das Ausscheiden muss "klar ausgewiesen" sein], vgl. Urteil 9C_109/2010 vom 28. April 2010 E. 3.3 mit Hinweis auf BGE 126 V 61 E. 4b S. 62). Dabei hat das kantonale Gericht - entgegen den Einwänden in der Beschwerde - auch die Vereinbarung vom 1. Juli 2013 in ihre Beweiswürdigung miteinbezogen und diese explizit als Indiz für ein vorzeitiges faktisches Ausscheiden bezeichnet. Im Ergebnis erachtete sie ein Ausscheiden indessen als nicht klar ausgewiesen, weil sich dem Protokoll vom 26. November 2013 gerade nicht entnehmen lasse, dass Stammanteile der B.________ GmbH bereits zuvor übertragen worden wären und/oder die Beschwerdeführerin bereits faktisch oder rechtlich aus der Gesellschaft ausgetreten sei. Im Gegenteil würden diese Rechtsvorgänge im Protokoll zeitlich explizit auf den Tag der Versammlung bezogen. Gegen ein vorzeitiges faktisches Ausscheiden spreche auch, dass sich die Beschwerdeführerin im Anschluss an die Vereinbarung vom 1. Juli 2013 nicht um Löschung des Handelsregistereintrags bemüht habe, obwohl sie dazu berechtigt gewesen wäre. Inwiefern diese - für das Bundesgericht grundsätzlich verbindliche (vgl. E. 1 hievor) - vorinstanzliche Sachverhaltswürdigung offensichtlich unrichtig oder sonstwie rechtsfehlerhaft sein soll, ist weder ersichtlich noch in der Beschwerde substanziiert dargetan. Insbesondere fehlen in den Akten jegliche Hinweise auf tatsächliche Handlungen, welche C.________ bereits im Zeitraum vor der ausserordentlichen Gesellschafterversammlung vom 26. November 2013 als faktischer Geschäftsführer getätigt haben soll. Solche Handlungen werden in der Beschwerde auch nicht behauptet. Ein Blick in das Protokoll vom 26. November 2013 zeigt zudem auf, dass nicht C.________, sondern die Beschwerdeführerin - explizit als Geschäftsführerin bezeichnet - die Gesellschafterversammlung eröffnet und eigenständig deren Vorsitz übernommen hat.</w:t>
      </w:r>
    </w:p>
    <w:p>
      <w:r>
        <w:rPr>
          <w:b/>
        </w:rPr>
        <w:t>E. 4.2</w:t>
      </w:r>
    </w:p>
    <w:p>
      <w:r>
        <w:t>Bei diesem Ergebnis erübrigen sich Weiterungen zum Einwand, die faktische Geschäftsführung durch C.________ habe den erforderlichen Kausalzusammenhang unterbrochen. Dasselbe gilt in Bezug auf die Rüge, der eingetretene Schaden gründe auf einem schweren Drittverschulden.</w:t>
      </w:r>
    </w:p>
    <w:p>
      <w:r>
        <w:rPr>
          <w:b/>
        </w:rPr>
        <w:t>E. 4.3</w:t>
      </w:r>
    </w:p>
    <w:p>
      <w:r>
        <w:t>Die übrigen Voraussetzungen der subsidiären Haftung als Arbeitgeberorgan nach Art. 52 Abs. 1 AHVG werden nicht bestritten. Es besteht kein Anlass für eine nähere Prüfung von Amtes wegen ( BGE 125 V 413 E. 1b und 2c S. 415 ff.). Der angefochtene Entscheid verletzt kein Bundesrecht.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