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424/2010 vom 31. August 2010</w:t>
      </w:r>
    </w:p>
    <w:p>
      <w:r>
        <w:t>Bundesgericht, 2010-08-31, DE</w:t>
      </w:r>
    </w:p>
    <w:p>
      <w:r>
        <w:rPr>
          <w:b/>
        </w:rPr>
        <w:t xml:space="preserve">Quelle: </w:t>
      </w:r>
      <w:r>
        <w:t>https://mcp.opencaselaw.ch/entscheid/bger_9C_424_2010</w:t>
      </w:r>
    </w:p>
    <w:p>
      <w:r>
        <w:t>FR: TF 9C 424/2010 du 31 août 2010</w:t>
      </w:r>
    </w:p>
    <w:p>
      <w:r>
        <w:t>IT: TF 9C 424/2010 del 31 agosto 2010</w:t>
      </w:r>
    </w:p>
    <w:p>
      <w:pPr>
        <w:pStyle w:val="Heading2"/>
      </w:pPr>
      <w:r>
        <w:t>Regeste</w:t>
      </w:r>
    </w:p>
    <w:p>
      <w:r>
        <w:t>Invalidenversicherung | Invalidenversicherung</w:t>
      </w:r>
    </w:p>
    <w:p>
      <w:pPr>
        <w:pStyle w:val="Heading2"/>
      </w:pPr>
      <w:r>
        <w:t>Erwägungen</w:t>
      </w:r>
    </w:p>
    <w:p>
      <w:r>
        <w:rPr>
          <w:b/>
        </w:rPr>
        <w:t>E. 1</w:t>
      </w:r>
    </w:p>
    <w:p>
      <w:r>
        <w:t>Das Verfahren wird infolge Rückzugs der Beschwerde abgeschrieben.</w:t>
      </w:r>
    </w:p>
    <w:p>
      <w:r>
        <w:rPr>
          <w:b/>
        </w:rPr>
        <w:t>E. 2</w:t>
      </w:r>
    </w:p>
    <w:p>
      <w:r>
        <w:t>Es werden keine Gerichtskosten erhoben.</w:t>
      </w:r>
    </w:p>
    <w:p>
      <w:r>
        <w:rPr>
          <w:b/>
        </w:rPr>
        <w:t>E. 3</w:t>
      </w:r>
    </w:p>
    <w:p>
      <w:r>
        <w:t>Diese Verfügung wird den Parteien, dem Versicherungsgericht des Kantons Aargau und dem Bundesamt für Sozialversicherungen schriftlich mitgeteilt. Luzern, 31. August 2010 Im Namen der II. sozialrechtlichen Abteilung des Schweizerischen Bundesgerichts Der Präsident: Die Gerichtsschreiberin: Meyer Keel Baumann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