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423/2015 vom 22. September 2015</w:t>
      </w:r>
    </w:p>
    <w:p>
      <w:r>
        <w:t>Bundesgericht, 2015-09-22, DE</w:t>
      </w:r>
    </w:p>
    <w:p>
      <w:r>
        <w:rPr>
          <w:b/>
        </w:rPr>
        <w:t xml:space="preserve">Quelle: </w:t>
      </w:r>
      <w:r>
        <w:t>https://mcp.opencaselaw.ch/entscheid/bger_9C_423_2015</w:t>
      </w:r>
    </w:p>
    <w:p>
      <w:r>
        <w:t>FR: TF 9C 423/2015 du 22 septembre 2015</w:t>
      </w:r>
    </w:p>
    <w:p>
      <w:r>
        <w:t>IT: TF 9C 423/2015 del 22 settembre 2015</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Revision von Invalidenrenten bei wesentlicher Änderung in den tatsächlichen Verhältnissen ( Art. 17 Abs. 1 ATSG in Verbindung mit Art. 1 Abs. 1 IVG ; BGE 134 V 131 E. 3 S. 132; 133 V 108 ; 130 V 343 E. 3.5 S. 349 ff.) zutreffend dargelegt. Hierauf wird verwiesen.</w:t>
      </w:r>
    </w:p>
    <w:p>
      <w:r>
        <w:rPr>
          <w:b/>
        </w:rPr>
        <w:t>E. 3</w:t>
      </w:r>
    </w:p>
    <w:p>
      <w:r>
        <w:t>Des Weitern hat das kantonale Gericht - insbesondere gestützt auf das interdisziplinäre Gutachten der MEDAS B.________ vom 19. Juli 2012 - für das Bundesgericht verbindlich festgestellt (vgl. E. 1 hievor), dass im Zeitraum zwischen der ursprünglichen Rentenverfügung vom 20. Juni 2002 und der streitigen Revisionsverfügung vom 12. Februar 2013 eine wesentliche Verbesserung des Gesundheitszustandes und der Arbeitsfähigkeit eingetreten ist, indem der Beschwerdeführer nunmehr (bei vollständiger Remission der seinerzeitigen schweren depressiven Episode) einer leidensangepassten Erwerbstätigkeit wiederum uneingeschränkt nachgehen könnte. Eine rentenbegründende Erwerbseinbusse scheidet somit aus. Wenn der Versicherte rein appellatorisch jegliche gesundheitliche Verbesserung in Abrede stellt, übersieht er, dass die im angefochtenen Entscheid einlässlich begründete Würdigung der gesamten medizinischen Akten (einschliesslich der antizipierten Schlussfolgerung, wonach keine weiteren ärztlichen Abklärungen erforderlich seien) Fragen tatsächlicher Natur beschlägt und daher einer Überprüfung durch das Bundesgericht grundsätzlich entzogen ist, zumal von willkürlicher Abwägung durch die Vorinstanz oder anderweitiger Rechtsfehlerhaftigkeit im Sinne von Art. 105 Abs. 2 BGG nicht die Rede sein kann. Soweit sich der Beschwerdeführer darauf beruft, dass die ursprüngliche Rentenverfügung in der Folge in mehreren Mitteilungen ausdrücklich bestätigt wurde, verkennt er, dass bei einer Rentenrevision ausschliesslich die letzte rechtskräftige Verfügung, welche auf einer materiellen Prüfung des Rentenanspruchs (mit rechtskonformer Sachverhaltsabklärung, Beweiswürdigung und Durchführung eines Einkommensvergleichs) beruht, zeitlichen Ausgangspunkt für die Beurteilung einer anspruchserheblichen Änderung bildet ( BGE 133 V 108 und seitherige Rechtsprechung). Vor dem Revisionsverfahren, welches zur Rentenaufhebung führte, erfolgte eine materielle Anspruchsprüfung im dargelegten Sinne einzig im Zusammenhang mit der ursprünglichen Rentenverfügung vom 20. Juni 2002, weshalb Verwaltung und Vorinstanz zu Recht auf diesen zeitlichen Referenzpunkt abstellten.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