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9C_422/2011 vom 19. September 2011</w:t>
      </w:r>
    </w:p>
    <w:p>
      <w:r>
        <w:t>Bundesgericht, 2011-09-19, DE</w:t>
      </w:r>
    </w:p>
    <w:p>
      <w:r>
        <w:rPr>
          <w:b/>
        </w:rPr>
        <w:t xml:space="preserve">Quelle: </w:t>
      </w:r>
      <w:r>
        <w:t>https://mcp.opencaselaw.ch/entscheid/bger_9C_422_2011</w:t>
      </w:r>
    </w:p>
    <w:p>
      <w:r>
        <w:t>FR: TF 9C_422/2011 du 19 septembre 2011</w:t>
      </w:r>
    </w:p>
    <w:p>
      <w:r>
        <w:t>IT: TF 9C_422/2011 del 19 settembre 2011</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w:t>
      </w:r>
    </w:p>
    <w:p>
      <w:r>
        <w:t>Streitig und zu prüfen ist der Anspruch auf eine Viertelsrente der Invalidenversicherung und in diesem Zusammenhang der Grad der Arbeitsunfähigkeit.</w:t>
      </w:r>
    </w:p>
    <w:p>
      <w:r>
        <w:rPr>
          <w:b/>
        </w:rPr>
        <w:t>E. 2.1</w:t>
      </w:r>
    </w:p>
    <w:p>
      <w:r>
        <w:t>In ihrem Gutachten vom 24. Juni 2007 hatten die Ärzte der Klinik X.________ auf die Frage, wie viele Stunden pro Tag der Versicherte in einer körperlich leichten bis mittelschweren Tätigkeit arbeitsfähig sei, ausgeführt, dass eine schrittweise Steigerung der Arbeitsfähigkeit unter intensiver psychiatrischer und hausärztlicher Behandlung auf 70-80 % (6-7 Stunden täglich) mit zwei zusätzlichen Pausen möglich und zumutbar sei. Des Weitern bejahten sie die Frage, ob dabei eine Einschränkung der Leistungsfähigkeit bestehe, und bezifferten diese mit "langfristig [...] 30 % durch das etwas langsamere Arbeitstempo und den Bedarf von vermehrten Pausen wegen Müdigkeit".</w:t>
      </w:r>
    </w:p>
    <w:p>
      <w:r>
        <w:t>Als der Beschwerdeführer im kantonalen Verfahren vorbrachte, die gutachterlichen Ausführungen seien dahingehend zu verstehen, dass die festgestellte 70%ige zeitliche Arbeitsfähigkeit zusätzlich um 30 % eingeschränkt sei, was eine Arbeitsfähigkeit von 49 % ergebe, sah sich der kantonale Instruktionsrichter veranlasst, der Klinik X.________ am 4. Januar 2011 folgende Fragen zu unterbreiten: "Ist bei der aktuellen Arbeitsfähigkeit (4 ¼ Std. täglich) bzw. bei der verbesserten Arbeitsfähigkeit (6-7 Std. täglich) durchwegs zusätzlich noch eine Einschränkung der Leistungsfähigkeit von 30 % zu berücksichtigen? Oder ist das Ergebnis des Gutachtens so zu verstehen, dass die Arbeits- bzw. Leistungsfähigkeit langfristig insgesamt als zu 30 % eingeschränkt zu betrachten sei?". Mit Schreiben vom 28. Januar 2011 antwortete die Klinik X.________: "Die Arbeitsfähigkeit ist insgesamt als 30 % eingeschränkt zu beurteilen."</w:t>
      </w:r>
    </w:p>
    <w:p>
      <w:r>
        <w:rPr>
          <w:b/>
        </w:rPr>
        <w:t>E. 2.2</w:t>
      </w:r>
    </w:p>
    <w:p>
      <w:r>
        <w:t>Nach Würdigung der medizinischen Akten, insbesondere des Gutachtens vom 24. Juni 2007 und der ergänzenden Auskunft vom 28. Januar 2011, ging die Vorinstanz in ihrem Entscheid davon aus, dass der Beschwerdeführer in der Lage sei, eine leidensangepasste Tätigkeit im Umfang von 70-80 %, mithin zu 75 %, auszuüben. Gestützt auf die Schweizerische Lohnstrukturerhebung (LSE) 2008 (auf das konkret erzielte Einkommen konnte nicht abgestellt werden, weil es nicht dem Gegenwert der Arbeitsleistung entsprach und die Restarbeitsfähigkeit nicht ausgeschöpft wurde) ermittelte sie ein Einkommen von Fr. 44'984.- pro Jahr (75 % von Fr. 59'978.- [Fr. 4'806.- pro Monat, aufgerechnet auf ein Jahr und die durchschnittliche wöchentliche Arbeitszeit von 41,6 Std.]). Nach der Gegenüberstellung mit dem unbestritten gebliebenen Valideneinkommen von Fr. 72'686.- gelangte sie zu einem rentenausschliessenden Invaliditätsgrad von gerundet 38 %.</w:t>
      </w:r>
    </w:p>
    <w:p>
      <w:r>
        <w:rPr>
          <w:b/>
        </w:rPr>
        <w:t>E. 2.3</w:t>
      </w:r>
    </w:p>
    <w:p>
      <w:r>
        <w:t>Der Beschwerdeführer macht geltend, die vorinstanzliche Feststellung einer Arbeits- und Erwerbsfähigkeit von 75 % sei offensichtlich unrichtig, nachdem die Gutachter der Klinik X.________ am 28. Januar 2011 klar eine Einschränkung von insgesamt 30 % festgehalten hätten, was nichts anderes heisse, als dass die Arbeits- und Erwerbsfähigkeit unter Berücksichtigung der Zeit- und der Leistungskomponente 70 % (statt 75 %) betrage. Aufgrund der eindeutigen Aktenlage, insbesondere mit Blick auf die bei den Gutachtern der Klinik X.________ nachträglich eingeholte Auskunft, sei es willkürlich, zu einem anderen Schluss zu gelangen; die gutachterlichen Angaben würden im Resultat ganz offensichtlich unterdrückt. Dies müsse insbesondere auch deshalb gelten, weil die Vorinstanz keinen leidensbedingten Abzug vom Invalideneinkommen vornehme. Bei einer Erwerbsfähigkeit von 70 % resultiere ein Invalideneinkommen von Fr. 40'370.40, welches nach Gegenüberstellung mit dem unbestrittenen Valideneinkommen von Fr. 72'686.- zu einem Invaliditätsgrad von (gerundet) 44 % führe.</w:t>
      </w:r>
    </w:p>
    <w:p>
      <w:r>
        <w:rPr>
          <w:b/>
        </w:rPr>
        <w:t>E. 2.4</w:t>
      </w:r>
    </w:p>
    <w:p>
      <w:r>
        <w:t>Entgegen den Vorbringen in der Beschwerde ist es nicht offensichtlich unrichtig, wenn die Vorinstanz auch nach Kenntnis der präzisierenden Stellungnahme der Klinik X.________ vom 28. Januar 2011 von einer Arbeitsfähigkeit von 75 % (als Mittelwert zwischen 70 und 80 %; Urteil 9C_280/2010 vom 12. April 2011 E. 4.2, nicht publ. in: BGE 137 V 71 , aber in: Pra 2011 Nr. 91 S. 651; Urteil des Eidg. Versicherungsgerichts I 822/04 vom 21. April 2005 E. 4.4) ausgeht. Denn das Schreiben der Klinik X.________ kann mit Blick auf die Fragestellung, welche zusammengefasst lautet, ob die Einschränkung von 30 % zusätzlich zu veranschlagen ist, nicht als Korrektur der ursprünglichen Arbeitsfähigkeitsschätzung von "70-80 %" auf 70 % betrachtet werden. Bundesrechtswidrig ist es allerdings, wenn die Vorinstanz für die sich aus dem Gutachten vom 24. Juni 2007 ergebenden lohnmindernden Faktoren - das langsamere Arbeitstempo und den Bedarf von vermehrten Pausen wegen Müdigkeit - entgegen der Rechtsprechung (Urteil 9C_324/2008 vom 6. Januar 2009 E. 3.2.3 in fine, I 742/06 vom 18. Mai 2007 E. 4.2) keinen leidensbedingten Abzug vornimmt (vgl. BGE 132 V 393 E. 3.3 S. 399; Urteil 9C_728/2009 vom 21. September 2010 E. 4.1.2, in: SVR 2011 IV Nr. 31 S. 90). Wird der Abzug mit nur gerade 5 % veranschlagt, was zu einem Invalideneinkommen von Fr. 42'735.- führt, ergibt sich mit 41,2 % bereits ein die Erheblichkeitsschwelle von 40 % übersteigender Invaliditätsgrad und damit der Anspruch auf eine Viertelsrente ( Art. 28 Abs. 2 IVG in der seit 1. Januar 2008 geltenden bzw. Art. 28 Abs. 1 IVG in der bis 31. Dezember 2007 gültig gewesenen Fassung). Ein solcher resultiert im Übrigen auch bei Gewährung eines vorliegend maximal gerechtfertigten Abzugs von 15 % (Invalideneinkommen von Fr. 33'738.-; Invaliditätsgrad von 46 %), wobei dem Beschwerdeführer auch nicht mehr hätte zugesprochen werden können ( Art. 107 Abs. 1 BGG ).</w:t>
      </w:r>
    </w:p>
    <w:p>
      <w:r>
        <w:rPr>
          <w:b/>
        </w:rPr>
        <w:t>E. 2.5</w:t>
      </w:r>
    </w:p>
    <w:p>
      <w:r>
        <w:t>Zum selben Ergebnis (Anspruch auf eine Viertelsrente) gelangt man bei Berücksichtigung des langsameren Arbeitstempos und der Notwendigkeit zusätzlicher Pausen im Rahmen des medizinischen Zumutbarkeitsprofils, d.h. bei Zugrundelegung einer entsprechend verminderten Arbeitsfähigkeit von 70 % (vgl. auch Stellungnahme des Regionalen Ärztlichen Dienstes [RAD] vom 23. Mai 2008), alsdann ohne Vornahme eines leidensbedingten Abzuges, weil den genannten gesundheitlichen Einschränkungen ansonsten doppelt Rechnung getragen würde (Urteil 8C_261/2011 vom 5. Juli 2011 E. 7.3, 8C_530/2010 vom 24. Januar 2011 E. 4.2). Dieser Weg führt zu einem Invalideneinkommen von Fr. 41'985.- (70 % von Fr. 59'978.-; vgl. E. 2.2) und damit ebenfalls zu einem den Anspruch auf eine Viertelsrente begründenden Invaliditätsgrad (42 %).</w:t>
      </w:r>
    </w:p>
    <w:p>
      <w:r>
        <w:rPr>
          <w:b/>
        </w:rPr>
        <w:t>E. 2.6</w:t>
      </w:r>
    </w:p>
    <w:p>
      <w:r>
        <w:t>Zur Festsetzung von Beginn und Höhe der dem Beschwerdeführer nach dem Gesagten zustehenden Viertelsrente ist die Sache an die IV-Stelle zurückzuweisen.</w:t>
      </w:r>
    </w:p>
    <w:p>
      <w:r>
        <w:rPr>
          <w:b/>
        </w:rPr>
        <w:t>E. 3</w:t>
      </w:r>
    </w:p>
    <w:p>
      <w:r>
        <w:t>Dem Verfahrensausgang entsprechend sind die Gerichtskosten der unterliegenden IV-Stelle aufzuerlegen ( Art. 66 Abs. 1 BGG ). Diese hat dem obsiegenden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