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41/2011 vom 16. August 2011</w:t>
      </w:r>
    </w:p>
    <w:p>
      <w:r>
        <w:t>Bundesgericht, 2011-08-16, FR</w:t>
      </w:r>
    </w:p>
    <w:p>
      <w:r>
        <w:rPr>
          <w:b/>
        </w:rPr>
        <w:t xml:space="preserve">Quelle: </w:t>
      </w:r>
      <w:r>
        <w:t>https://mcp.opencaselaw.ch/entscheid/bger_9C_41_2011</w:t>
      </w:r>
    </w:p>
    <w:p>
      <w:r>
        <w:t>FR: TF 9C 41/2011 du 16 août 2011</w:t>
      </w:r>
    </w:p>
    <w:p>
      <w:r>
        <w:t>IT: TF 9C 41/2011 del 16 agosto 2011</w:t>
      </w:r>
    </w:p>
    <w:p>
      <w:pPr>
        <w:pStyle w:val="Heading2"/>
      </w:pPr>
      <w:r>
        <w:t>Regeste</w:t>
      </w:r>
    </w:p>
    <w:p>
      <w:r>
        <w:t>Prestation complémentaire à l'AVS/AI | Prestations complémentaires à l'AVS/AI</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considérés comme des éléments constitutifs d'un tel dommage ( ATF 133 V 477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Par ailleurs, lorsque l'autorité administrative à laquelle la cause est renvoyée dispose de la qualité pour recourir au Tribunal fédéral, elle doit pouvoir attaquer un arrêt de renvoi - à supposer même qu'il soit incident -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par la voie d'un recours, faute de remplir l'exigence d'une lésion formelle (« formelle Beschwer »; cf. ATF 133 V 477 consid. 5.2.4 p. 484).</w:t>
      </w:r>
    </w:p>
    <w:p>
      <w:r>
        <w:rPr>
          <w:b/>
        </w:rPr>
        <w:t>E. 1.3</w:t>
      </w:r>
    </w:p>
    <w:p>
      <w:r>
        <w:t>Dans le cas particulier, le Tribunal cantonal des assurances sociales a constaté que l'assurée pouvait exciper de sa bonne foi. En tant qu'il renvoie le dossier à l'autorité administrative pour qu'elle examine la seconde condition posée à l'octroi d'une remise, le jugement entrepris doit être qualifié de décision incidente au sens de l' art. 93 LTF . Pour autant, cet arrêt de renvoi ne laisse plus de latitude de jugement à l'autorité administrative sur l'un des aspects de la remise de l'obligation de restituer, à savoir la bonne foi de l'intimée. Aussi, le recourant pourrait-il être tenu de rendre, sur la base de cet élément, une décision qui, selon lui, est contraire au droit fédéral. En cela, il subit un préjudice irréparable au sens de l' art. 93 al. 1 let. a LTF .</w:t>
      </w:r>
    </w:p>
    <w:p>
      <w:r>
        <w:rPr>
          <w:b/>
        </w:rPr>
        <w:t>E. 2</w:t>
      </w:r>
    </w:p>
    <w:p>
      <w:r>
        <w:t>Le recourant n'a pas qualité pour former un recours en matière de droit public pour ce qui est des prestations complémentaires prévues par le droit cantonal ( ATF 134 V 53 ). C'est donc à raison qu'il a limité ses conclusions aux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4.1</w:t>
      </w:r>
    </w:p>
    <w:p>
      <w:r>
        <w:t>Les premiers juges ont considéré que l'intimée pouvait se prévaloir de sa bonne foi. Le formulaire de demande de prestations que l'intimée avait rempli en 1998 ne contenait aucune question précise relative à l'existence d'un compte de libre passage, hormis celle de savoir si la personne requérante avait reçu un capital de prévoyance. L'intimée était par conséquent légitimée à penser que la prévoyance professionnelle n'avait d'importance que dans l'hypothèse où le capital était libéré, hypothèse qui n'avait jamais concerné les époux A.________ et B.________ (même si la possibilité théorique s'était offerte au mari de l'intimée par la suite). Eu égard au manque de précision du formulaire de demande, on ne pouvait dès lors reprocher à l'intimée de n'y avoir pas répondu correctement.</w:t>
      </w:r>
    </w:p>
    <w:p>
      <w:r>
        <w:rPr>
          <w:b/>
        </w:rPr>
        <w:t>E. 4.2</w:t>
      </w:r>
    </w:p>
    <w:p>
      <w:r>
        <w:t>Le recourant estime pour sa part que la bonne foi des époux A.________ et B.________ aurait dû être niée. Ceux-ci auraient commis une négligence grave en s'abstenant de déclarer l'existence du compte de libre passage litigieux, d'abord au moment du dépôt de la demande de prestations complémentaires, puis au moment de l'octroi de la rente entière d'invalidité au mari de l'intimée. En substance, le recourant reproche à l'intimée de n'avoir pas indiqué l'existence du compte de libre passage, alors que le formulaire de demande qu'elle avait rempli en 1998 enjoignait la personne requérante d'indiquer si elle ou son conjoint étaient titulaires d'un compte bancaire. Il ne faisait aucun doute que le compte de libre passage litigieux devait être considéré comme un compte bancaire. Si elle estimait que tel n'était pas le cas, elle aurait alors dû en mentionner l'existence sous la rubrique « autres biens ». Dans ces conditions, il était erroné de considérer que le formulaire souffrait d'un manque de précision en relation avec les comptes de libre passage. De façon plus générale, le recourant relève que les formulaires de demande de prestations complémentaires contiennent l'engagement de la personne requérante d'informer sans retard le SPC de tout changement dans sa situation personnelle et/ou économique (revenus, patrimoine, dépenses). Or, lorsque l'époux de l'intimée a reçu la décision lui octroyant une rente entière de l'assurance-invalidité en mai 2002, celle-ci n'a pas saisi l'occasion d'informer le SPC de l'existence de ce compte de libre passage, alors qu'il était désormais possible d'en requérir la libre disposition.</w:t>
      </w:r>
    </w:p>
    <w:p>
      <w:r>
        <w:rPr>
          <w:b/>
        </w:rPr>
        <w:t>E. 5</w:t>
      </w:r>
    </w:p>
    <w:p>
      <w:r>
        <w:t>Aux termes de l' art. 25 al. 1 LPGA , les prestations indûment touchées doivent être restituées. La restitution ne peut être exigée lorsque l'intéressé était de bonne foi et qu'elle le mettrait dans une situation difficile.</w:t>
      </w:r>
    </w:p>
    <w:p>
      <w:r>
        <w:rPr>
          <w:b/>
        </w:rPr>
        <w:t>E. 5.1</w:t>
      </w:r>
    </w:p>
    <w:p>
      <w:r>
        <w:t>Le litige porte en l'occurrence sur la question de la remise de l'obligation de restituer les prestations complémentaires indûment perçues - le principe n'étant lui-même plus contesté -, singulièrement sur le point de savoir si l'intimée peut invoquer sa bonne foi.</w:t>
      </w:r>
    </w:p>
    <w:p>
      <w:r>
        <w:rPr>
          <w:b/>
        </w:rPr>
        <w:t>E. 5.2</w:t>
      </w:r>
    </w:p>
    <w:p>
      <w:r>
        <w:t>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 ATF 110 V 176 consid. 3d p. 181).</w:t>
      </w:r>
    </w:p>
    <w:p>
      <w:r>
        <w:rPr>
          <w:b/>
        </w:rPr>
        <w:t>E. 5.3</w:t>
      </w:r>
    </w:p>
    <w:p>
      <w:r>
        <w:t>L'examen de l'attention exigible d'un ayant droit qui invoque sa bonne foi relève du droit et le Tribunal fédéral revoit librement ce point ( ATF 122 V 221 consid. 3 p. 223; 102 V 245 consid. b p. 246).</w:t>
      </w:r>
    </w:p>
    <w:p>
      <w:r>
        <w:rPr>
          <w:b/>
        </w:rPr>
        <w:t>E. 6</w:t>
      </w:r>
    </w:p>
    <w:p>
      <w:r>
        <w:t>Le recourant reproche à l'intimée d'avoir commis une négligence grave aussi bien au moment du dépôt de sa demande de prestations complémentaires qu'au moment de l'octroi de la rente d'invalidité à son mari.</w:t>
      </w:r>
    </w:p>
    <w:p>
      <w:r>
        <w:rPr>
          <w:b/>
        </w:rPr>
        <w:t>E. 6.1</w:t>
      </w:r>
    </w:p>
    <w:p>
      <w:r>
        <w:t>Sans examiner dans le détail la question de savoir si le formulaire rempli à l'époque de la demande de prestations était suffisamment précis quant aux renseignements à fournir, la violation de l'obligation d'annoncer commise par l'intimée ne saurait être qualifiée tout au plus que de légère. Le paiement en espèce de la prestation de sortie avant la retraite ne peut être exigé que dans les cas expressément prévus par la loi, soit lorsque la personne assurée affecte son capital au financement d'un logement en propriété ( art. 30c LPP ), lorsqu'elle quitte définitivement la Suisse ( art. 5 al. 1 let. a LFLP ), lorsqu'elle s'établit à son propre compte et qu'elle n'est plus soumise à la prévoyance professionnelle ( art. 5 al. 1 let. b LFLP ), lorsque le montant de la prestation de sortie est inférieur au montant annuel de ses cotisations ( art. 5 al. 1 let . c LFLP) ou lorsqu'elle perçoit une rente entière d'invalidité versée par l'assurance-invalidité fédérale ( art. 16 al. 2 OLP ). Au moment où l'intimée a déposé sa demande de prestations complémentaires, son mari ne s'était pas encore vu reconnaître le droit à une rente entière de l'assurance-invalidité fédérale; le capital de prévoyance versé sur le compte de libre passage n'était par conséquent pas disponible. Dans ces conditions, on ne saurait reprocher à l'intimée d'avoir fait preuve de mauvaise foi en ne faisant pas état d'un avoir qui ne serait, en tout état de cause, pas entré en ligne de compte pour calculer le montant de la prestation complémentaire.</w:t>
      </w:r>
    </w:p>
    <w:p>
      <w:r>
        <w:rPr>
          <w:b/>
        </w:rPr>
        <w:t>E. 6.2</w:t>
      </w:r>
    </w:p>
    <w:p>
      <w:r>
        <w:t>La situation s'avère plus délicate s'agissant de la période postérieure à la décision d'octroi d'une rente entière de l'assurance-invalidité fédérale en faveur de B.________. L'intimée n'était pas censée ignorer la possibilité qu'avait son mari de pouvoir disposer librement du capital de prévoyance à compter de ce moment précis, sinon par la teneur des dispositions légales, du moins par le règlement de la Fondation de libre passage d'UBS SA. Certes l' art. 16 al. 2 OLP est une norme potestative (« Kann-Vorschrift ») qui laisse le choix à la personne assurée de demander le versement ou non de son capital de prévoyance. Toutefois, eu égard au principe général du droit des assurances sociales, selon lequel il appartient à la personne assurée d'entreprendre de son propre chef tout ce que l'on peut raisonnablement attendre d'elle pour atténuer les conséquences du dommage (voir ATF 129 V 460 consid. 4.2 p. 463; 123 V 230 consid. 3c p. 233; 117 V 275 consid. 2b p. 278), on est en droit d'attendre et d'exiger qu'elle mette tout en oeuvre pour concrétiser les possibilités de gain dont elle dispose, notamment en demandant le versement du capital de prévoyance déposé sur un compte de libre passage (arrêt P 56/05 du 29 mai 2006 consid. 3.5, in SVR 2007 EL n° 3 p. 5; voir également arrêt P 14/95 du 4 juillet 1997 consid. 3b, in VSI 1997 p. 264). Dans ces conditions, il incombait à l'intimée d'informer le recourant de l'existence de ce compte de libre passage (voir également art. 24 OPC-AVS/AI ), ce qu'elle a omis de faire. L'omission de cette déclaration constitue une négligence grave qui exclut la bonne foi et, partant, également la remise de l'obligation de restituer le montant des prestations complémentaires fondées sur le droit fédéral, vu le caractère cumulatif des deux conditions de l'art. 25 al. 1, 2ème phrase, LPGA. Le recours doit par conséquent être admis.</w:t>
      </w:r>
    </w:p>
    <w:p>
      <w:r>
        <w:rPr>
          <w:b/>
        </w:rPr>
        <w:t>E. 7</w:t>
      </w:r>
    </w:p>
    <w:p>
      <w:r>
        <w:t>Au regard de l'issue du litige, les frais judiciaires sont mis à la charge de l'intimée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