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9C_417/2019 vom 20. November 2019</w:t>
      </w:r>
    </w:p>
    <w:p>
      <w:r>
        <w:t>Bundesgericht, 2019-11-20, FR</w:t>
      </w:r>
    </w:p>
    <w:p>
      <w:r>
        <w:rPr>
          <w:b/>
        </w:rPr>
        <w:t xml:space="preserve">Quelle: </w:t>
      </w:r>
      <w:r>
        <w:t>https://mcp.opencaselaw.ch/entscheid/bger_9C_417_2019</w:t>
      </w:r>
    </w:p>
    <w:p>
      <w:r>
        <w:t>FR: TF 9C_417/2019 du 20 novembre 2019</w:t>
      </w:r>
    </w:p>
    <w:p>
      <w:r>
        <w:t>IT: TF 9C_417/2019 del 20 novembre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2.1</w:t>
      </w:r>
    </w:p>
    <w:p>
      <w:r>
        <w:t>Le litige porte sur l'étendue du droit de la recourante à une rente d'invalidité, plus particulièrement sur le taux d'invalidité justifiant l'allocation d'une prestation plus élevée que la demi-rente accordée par la juridiction cantonale à compter du 1er janvier 2008.</w:t>
      </w:r>
    </w:p>
    <w:p>
      <w:r>
        <w:rPr>
          <w:b/>
        </w:rPr>
        <w:t>E. 2.2</w:t>
      </w:r>
    </w:p>
    <w:p>
      <w:r>
        <w:t>L'acte attaqué cite les normes et la jurisprudence indispensables à la résolution du litige, particulièrement celles concernant la violation du droit d'entendu, l'appréciation anticipée des preuves ( art. 29 al. 2 Cst. ; ATF 140 I 285 consid. 6.3.1 p. 298) et le principe de libre appréciation des preuves ( ATF 134 V 231 consid. 5.1 p. 232; 125 V 351 consid. 3c p. 352). Il expose également celles relatives à l'exploitation de la capacité de gain sur le marché équilibré du travail ( art. 16 LPGA ) et à l'influence de facteurs particuliers, tels que l'âge de l'assuré, sur le caractère exigible et réaliste de la mise en valeur de cette capacité (cf. p. ex. ATF 138 V 457 consid. 3 p. 459 ss; cf. aussi arrêt 9C_188/2019 du 10 septembre 2019 consid. 7) ainsi que sur l'abattement relatif au revenu sans invalidité ( ATF 134 V 322 consid. 5.2 p. 327 s.). Il suffit dès lors d'y renvoyer.</w:t>
      </w:r>
    </w:p>
    <w:p>
      <w:r>
        <w:t>On précisera en outre que le Tribunal fédéral n'annule une décision au titre d'une appréciation arbitraire des preuves que si cette décision est manifestement insoutenable, est visiblement contraire à la situation de fait, viole gravement une règle légale ou un principe juridique indiscuté ou heurte d'une manière choquante le sentiment de la justice ainsi que de l'équité. Le résultat de la décision - et pas seulement sa motivation - doit également être arbitraire. L'existence d'une autre solution même préférable à celle retenue ne saurait suffire (cf. notamment ATF 139 III 334 consid. 3.2.5 p. 339; 137 I 1 consid. 2.4 p. 5 et les références).</w:t>
      </w:r>
    </w:p>
    <w:p>
      <w:r>
        <w:rPr>
          <w:b/>
        </w:rPr>
        <w:t>E. 3.1</w:t>
      </w:r>
    </w:p>
    <w:p>
      <w:r>
        <w:t>L'assurée fait grief aux premiers juges d'avoir violé son droit d'être entendue en refusant d'auditionner ses témoins (son conjoint ainsi que le conseiller en réadaptation de l'office intimé qui s'était occupé de son dossier) et de l'entendre personnellement. Tel qu'invoqué en relation avec la capacité résiduelle de travail, ce grief se confond avec celui de constatation manifestement inexacte (y compris arbitraire) ou incomplète des faits pertinents. Il sera dès lors examiné sous cet angle.</w:t>
      </w:r>
    </w:p>
    <w:p>
      <w:r>
        <w:rPr>
          <w:b/>
        </w:rPr>
        <w:t>E. 3.2.1</w:t>
      </w:r>
    </w:p>
    <w:p>
      <w:r>
        <w:t>La juridiction cantonale a par appréciation anticipée des preuves considéré qu'il n'était pas nécessaire d'accéder à l'offre de preuves de la recourante dès lors que le dossier constitué par l'administration était complet et que la mesure d'instruction proposée ne pouvait pas influer sur la solution du litige. Elle a en outre précisé que l'avis du 1er octobre 2010 du conseiller en réadaptation (qui avait indiqué que les capacités intellectuelles de l'assurée n'étaient plus suffisantes pour prétendre un poste de travail dans l'économie libre) avait été pris en compte par les experts de la PMU lorsqu'ils avaient expliqué que l'échec des mesures de réadaptation entreprises durant la procédure administrative était lié au fait que les stages proposés n'étaient pas assez adaptés. Elle a en définitive constaté la valeur probante du rapport d'expertise de la PMU.</w:t>
      </w:r>
    </w:p>
    <w:p>
      <w:r>
        <w:rPr>
          <w:b/>
        </w:rPr>
        <w:t>E. 3.2.2</w:t>
      </w:r>
    </w:p>
    <w:p>
      <w:r>
        <w:t>La recourante prétend qu'il existe des doutes quant à la capacité résiduelle de travail qu'elle peut encore concrètement mettre en valeur et que les auditions demandées (celle du conseiller en réadaptation de l'office intimé ainsi que la sienne) étaient des mesures d'instruction qui auraient pu prouver les efforts consentis pour reprendre une activité et le résultat infructueux de ces efforts. Elle soutient par ailleurs que de telles mesures d'instruction auraient permis de montrer qu'elle était limitée et ralentie dans l'exécution de tâches intellectuelles et auraient empêché la cour cantonale de se contredire en postulant le caractère essentiellement intellectuel des activités adaptées à son état de santé tout en expliquant l'échec des tentatives de reprise d'un emploi par ses troubles cognitifs.</w:t>
      </w:r>
    </w:p>
    <w:p>
      <w:r>
        <w:rPr>
          <w:b/>
        </w:rPr>
        <w:t>E. 3.3</w:t>
      </w:r>
    </w:p>
    <w:p>
      <w:r>
        <w:t>L'argumentation développée par l'assurée est mal fondée. Par leur appréciation anticipée des preuves, les premiers juges ont en l'espèce clairement signifié que leur opinion quant à la valeur probante de l'avis des experts de la PMU au sujet de la capacité effective de travail de la recourante dans une activité adaptée ne pouvait être influencée par les auditions proposées. Il ne subsistait pour eux aucun doute que l'assurée était en mesure d'exercer à mi-temps depuis 2007 une activité adaptée telle que décrite par les experts évoqués (activité simple et répétitive, sédentaire avec déplacements occasionnels, sans port de charges de plus de 5-10 kg ni stress important).</w:t>
      </w:r>
    </w:p>
    <w:p>
      <w:r>
        <w:t>En se bornant à prétendre que les preuves offertes auraient permis au contraire d'attester l'existence d'incertitudes quant à sa réelle capacité de travail, la recourante ne critique pas vraiment le résultat de l'appréciation des preuves. Elle ne tente pas de démontrer que celle-ci est arbitraire mais se limite à développer une argumentation appellatoire sur laquelle le Tribunal fédéral n'a en principe pas à entrer en matière ( ATF 140 III 264 consid. 2.3 p. 266). On précisera toutefois qu'il n'apparaît pas à la lecture du jugement entrepris que la Cour cantonale aurait nié les efforts consentis durant la réadaptation professionnelle, ni l'échec de ces efforts ou même l'influence des troubles cognitifs diagnostiqués sur l'accomplissement de tâches éminemment intellectuelles. Au contraire, le tribunal cantonal a reconnu la pleine valeur probante du rapport des experts de la PMU qui, s'ils ont abouti aux mêmes conclusions que les médecins du bureau d'expertises C.________, ont intégré la composante cognitive à l'évaluation de la situation, en particulier à la description d'une activité considérée comme adaptée. Les premiers juges ont de surcroît relevé de manière circonstanciée que les experts de la PMU avaient déjà expliqué pourquoi l'avis du conseiller en réadaptation n'était pas pertinent, ses considérations concernant l'échec des mesures de réadaptation en raison des faibles capacités intellectuelles de l'assurée n'intégrant pas le caractère inadéquat des postes de stage proposés à l'époque avec les limitations observées en définitive.</w:t>
      </w:r>
    </w:p>
    <w:p>
      <w:r>
        <w:t>On ne saurait enfin voir une contradiction dans le fait pour la juridiction cantonale, d'une part, de retenir que la recourante n'était plus à même d'occuper un poste exigeant de la rapidité et la gestion de multiples tâches simultanément et, d'autre part, de considérer que l'activité adaptée doit avoir un caractère essentiellement intellectuel. Qualifier une activité d'"intellectuelle" dans le cas d'espèce sert en effet à la différencier des activités manuelles qui, compte tenu des séquelles du polytraumatisme subi en 2002, sont proscrites; de plus, toute activité dite "intellectuelle" n'exige pas nécessairement la mise en oeuvre des mêmes ressources cognitives. On ne peut dès lors reprocher à la cour cantonale d'avoir fait montre d'arbitraire dans son appréciation (anticipée) des preuves et d'avoir ainsi contrevenu au droit d'être entendue de l'assurée. Il n'y a dès lors pas lieu de s'écarter de leurs constatations selon lesquelles les limitations d'ordre cognitif mises en évidence par les experts de la PMU n'empêchent pas la recourante d'exercer une activité adaptée à 50 %.</w:t>
      </w:r>
    </w:p>
    <w:p>
      <w:r>
        <w:rPr>
          <w:b/>
        </w:rPr>
        <w:t>E. 4.1</w:t>
      </w:r>
    </w:p>
    <w:p>
      <w:r>
        <w:t>La recourante critique aussi l'évaluation par le tribunal cantonal de son taux d'invalidité depuis le 1er janvier 2008.</w:t>
      </w:r>
    </w:p>
    <w:p>
      <w:r>
        <w:rPr>
          <w:b/>
        </w:rPr>
        <w:t>E. 4.2.1</w:t>
      </w:r>
    </w:p>
    <w:p>
      <w:r>
        <w:t>L'assurée soutient en particulier que compte tenu de son âge au moment déterminant (61 ans en 2015), de l'échec de ses tentatives de réadaptation et du type d'activité adaptée exigible (simple, répétitive et sans stress), il lui était impossible de mettre en valeur une capacité de travail sur le marché ordinaire de l'emploi.</w:t>
      </w:r>
    </w:p>
    <w:p>
      <w:r>
        <w:rPr>
          <w:b/>
        </w:rPr>
        <w:t>E. 4.2.2</w:t>
      </w:r>
    </w:p>
    <w:p>
      <w:r>
        <w:t>Les premiers juges ont considéré que la mise en valeur de la capacité résiduelle de travail était exigible dès lors que l'âge (60 ans quand la PMU avait rendu les conclusions de son expertise) et les restrictions engendrées par les limitations ne rendaient pas illusoire la perspective de retrouver un emploi sur un marché équilibré du travail.</w:t>
      </w:r>
    </w:p>
    <w:p>
      <w:r>
        <w:rPr>
          <w:b/>
        </w:rPr>
        <w:t>E. 4.2.3</w:t>
      </w:r>
    </w:p>
    <w:p>
      <w:r>
        <w:t>L'argumentation de la recourante n'est pas fondée. On précisera au préalable que dans la mesure où l'examen de l'exigibilité de la mise en valeur de la capacité résiduelle de travail pour un assuré proche de l'âge de la retraite n'intervient que quand les rapports médicaux réunis permettent d'établir de façon fiable les faits nécessaires à la solution de cette question, le moment déterminant en l'occurrence correspond à la date à laquelle a été produit le complément d'expertise de la PMU, soit le 13 janvier 2014 (voir ATF 138 V 457 consid. 3.3 p. 461 s.). L'incertitude qu'a exprimée le SMR le 10 mars 2015 au sujet de la "répartition quotidienne" de ladite capacité résiduelle (50 % le matin ou 50 % l'après-midi / 25 % le matin et 25 % l'après-midi) ne saurait influencer le moment à partir duquel l'exercice d'une activité lucrative adaptée pouvait médicalement être exigée. L'assurée, qui est née le 2 août 1954, n'avait à ce moment pas encore atteint les soixante ans. Il lui restait plus de quatre ans d'activité avant d'arriver à la retraite.</w:t>
      </w:r>
    </w:p>
    <w:p>
      <w:r>
        <w:t>Eu égard aux limites relativement élevées fixées par la jurisprudence à propos de l'impossibilité pour les personnes d'un certain âge de mettre en valeur leur capacité résiduelle de travail (cf. arrêt 9C_46/2019 du 27 juin 2019 consid. 5 et les références), ainsi qu'au parcours professionnel de la recourante, la juridiction cantonale était en droit de considérer que l'assurée était apte à retrouver un emploi adapté sur le marché équilibré du travail. Cette dernière est titulaire d'un diplôme d'infirmière obtenu au terme d'une formation en 1981 et a suivi des cours de réinsertion en 1996. Elle a effectivement travaillé en tant que tel depuis 1997 jusqu'au jour de son accident, puis du mois de septembre 2005 au mois de mai 2007. Elle a ensuite cessé temporairement son activité pour des raisons de santé mais n'est pas restée inactive. Elle a bénéficié d'une formation et d'un stage dans le domaine du secrétariat médical. Elle a en outre bénéficié d'un second stage dans le secteur du secrétariat extra-médical. Depuis 2011, elle a apparemment repris deux activité à temps partiel dont elle a parlé aux experts de la PMU (rapport d'expertise p. 10 s.). Au vu de ces différentes expériences professionnelles et des activités reprises après la survenance des atteintes à la santé, l'exigibilité de la mise en oeuvre de sa capacité résiduelle de travail ne saurait être niée.</w:t>
      </w:r>
    </w:p>
    <w:p>
      <w:r>
        <w:rPr>
          <w:b/>
        </w:rPr>
        <w:t>E. 4.3.1</w:t>
      </w:r>
    </w:p>
    <w:p>
      <w:r>
        <w:t>La recourante prétend encore que l'application de la méthode mixte d'évaluation de l'invalidité engendre une discrimination, dont le résultat est de pénaliser les femmes s'occupant de leur ménage et exerçant en parallèle une activité lucrative. Elle soutient que compte tenu d'un taux d'occupation de 80 % dans la part active, elle aurait pu bénéficier d'une rente entière fondée sur un degré d'invalidité de 73 % en application de la méthode générale de comparaison des revenus tandis qu'elle n'en a obtenu qu'une demie en fonction de la méthode mixte.</w:t>
      </w:r>
    </w:p>
    <w:p>
      <w:r>
        <w:rPr>
          <w:b/>
        </w:rPr>
        <w:t>E. 4.3.2</w:t>
      </w:r>
    </w:p>
    <w:p>
      <w:r>
        <w:t>Sur ce grief, le tribunal cantonal a justement expliqué que l'arrêt de la Cour européenne des droits de l'homme (CourEDH)</w:t>
      </w:r>
    </w:p>
    <w:p>
      <w:r>
        <w:t>Di Trizio contre Suisse du 2 février 2016 (n° 7186/09), invoqué par l'assurée, ne remettait pas en question l'application de la méthode mixte en tant que tel et que, d'après le Tribunal fédéral, il ne s'appliquait qu'aux seuls changements de statuts (p. ex. de personne active à plein temps à active à temps partiel) ensuite de la naissance d'enfants (cf. ATF 143 I 50 ), ce qui n'était de toute évidence pas le cas en l'occurrence.</w:t>
      </w:r>
    </w:p>
    <w:p>
      <w:r>
        <w:t>On ne peut que confirmer les considérations des premiers juges. Dans son arrêt du 2 février 2016, la CourEDH n'a effectivement pas constaté que la méthode mixte d'évaluation de l'invalidité était, en soi, discriminatoire. Elle a seulement considéré que certains de ses effets l'étaient ( ATF 144 I 28 consid. 4.4 p. 35). L'application de cette méthode est toujours d'actualité ( ATF 144 I 28 consid. 4.3 p. 34; voir aussi arrêt 8C_157/2017 du 6 novembre 2017 consid. 3.5, in SVR 2018 IV n° 7 p. 23; arrêt 8C_588/2017 du 22 décembre 2017 consid. 4.2.2).</w:t>
      </w:r>
    </w:p>
    <w:p>
      <w:r>
        <w:t>L'attention des parties est cependant attirée sur l'entrée en vigueur de l'art. 27bis al. 2 à 4 RAI au 1er janvier 2018, adopté par le Conseil fédéral à la suite de l'arrêt Di Trizio.</w:t>
      </w:r>
    </w:p>
    <w:p>
      <w:r>
        <w:rPr>
          <w:b/>
        </w:rPr>
        <w:t>E. 4.4</w:t>
      </w:r>
    </w:p>
    <w:p>
      <w:r>
        <w:t>La recourante soutient enfin que, pour prendre en considération "l'ampleur que représente l'exercice des doubles tâches ménagères et lucratives", il convient de retenir un taux d'abattement d'au moins 25 %. Par cette argumentation, elle n'établit cependant pas ni même n'allègue que la cour cantonale aurait de quelque façon violé le droit ou outrepassé son pouvoir d'appréciation ( ATF 137 V 71 consid. 5.2 p. 73 ss) en retenant un taux d'abattement de 15 % de sorte qu'il n'y a pas de raison d'y revenir.</w:t>
      </w:r>
    </w:p>
    <w:p>
      <w:r>
        <w:rPr>
          <w:b/>
        </w:rPr>
        <w:t>E. 5</w:t>
      </w:r>
    </w:p>
    <w:p>
      <w:r>
        <w:t>Le recours est entièrement mal fondé.</w:t>
      </w:r>
    </w:p>
    <w:p>
      <w:r>
        <w:rPr>
          <w:b/>
        </w:rPr>
        <w:t>E. 6</w:t>
      </w:r>
    </w:p>
    <w:p>
      <w:r>
        <w:t>Vu l'issue du litige, les frais judiciaires doivent être mis à la charge de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