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416/2020 vom 11. März 2021</w:t>
      </w:r>
    </w:p>
    <w:p>
      <w:r>
        <w:t>Bundesgericht, 2021-03-11, FR</w:t>
      </w:r>
    </w:p>
    <w:p>
      <w:r>
        <w:rPr>
          <w:b/>
        </w:rPr>
        <w:t xml:space="preserve">Quelle: </w:t>
      </w:r>
      <w:r>
        <w:t>https://mcp.opencaselaw.ch/entscheid/bger_9C_416_2020</w:t>
      </w:r>
    </w:p>
    <w:p>
      <w:r>
        <w:t>FR: TF 9C 416/2020 du 11 mars 2021</w:t>
      </w:r>
    </w:p>
    <w:p>
      <w:r>
        <w:t>IT: TF 9C 416/2020 del 11 marzo 2021</w:t>
      </w:r>
    </w:p>
    <w:p>
      <w:pPr>
        <w:pStyle w:val="Heading2"/>
      </w:pPr>
      <w:r>
        <w:t>Regeste</w:t>
      </w:r>
    </w:p>
    <w:p>
      <w:r>
        <w:t>Assurance-invalidité | Assurance-invalidité</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Compte tenu des motifs du recours, le litige porte en instance fédérale sur la suppression, avec effet au 1er septembre 2016, de la demi-rente d'invalidité accordée à l'intimé depuis le 1er août 2011. L'office AI invoque la voie de la révision ( art. 17 al. 1 LPGA ) ou de la révision procédurale ( art. 53 al. 1 LPGA ). Il ne s'en prend en revanche pas aux considérations de la juridiction cantonale, selon lesquelles la suppression de la rente ne pouvait pas intervenir en application des règles sur la reconsidération des décisions formellement entrées en force ( art. 53 al. 2 LPGA ).</w:t>
      </w:r>
    </w:p>
    <w:p>
      <w:r>
        <w:rPr>
          <w:b/>
        </w:rPr>
        <w:t>E. 2.2</w:t>
      </w:r>
    </w:p>
    <w:p>
      <w:r>
        <w:t>Le jugement attaqué expose de manière complète les dispositions légales et les principes jurisprudentiels relatifs, notamment, à la notion d'invalidité ( art. 7 et 8 al. 1 LPGA en relation avec l' art. 4 al. 1 LAI ) et à son évaluation ( art. 16 LPGA et art. 28a LAI ). Il rappelle également les conditions permettant de réviser le droit à une rente d'invalidité ( art. 17 LPGA , art. 31 al. 1 LAI , art. 86teret 87 al. 1 let. b RAI; ATF 134 V 131 consid. 3 p. 132 et les arrêts cités), ainsi que les règles applicables à la révision des décisions formellement passées en force ( art. 53 al. 1 LPGA ; ATF 127 V 353 consid. 5b p. 358 et les arrêts cités; arrêt 9C_365/2015 du 6 janvier 2016 consid. 3.1). Il suffit d'y renvoyer.</w:t>
      </w:r>
    </w:p>
    <w:p>
      <w:r>
        <w:rPr>
          <w:b/>
        </w:rPr>
        <w:t>E. 3.1</w:t>
      </w:r>
    </w:p>
    <w:p>
      <w:r>
        <w:t>L'office recourant reproche à la juridiction cantonale d'avoir violé le droit fédéral et procédé à une appréciation arbitraire des faits pour nier que les conditions d'une révision ( art. 17 al. 1 LPGA ) ou d'une révision procédurale ( art. 53 al. 1 LPGA ) étaient réalisées, avec pour conséquence qu'elle a maintenu le droit de l'assuré à une demi-rente d'invalidité au-delà du 31 août 2016.</w:t>
      </w:r>
    </w:p>
    <w:p>
      <w:r>
        <w:rPr>
          <w:b/>
        </w:rPr>
        <w:t>E. 3.2</w:t>
      </w:r>
    </w:p>
    <w:p>
      <w:r>
        <w:t>Contrairement à ce que soutient l'office recourant, la juridiction cantonale ne s'est pas prononcée sur le point de savoir si les conditions d'une révision ( art. 17 al. 1 LPGA ) ou d'une révision procédurale ( art. 53 al. 1 LPGA ) étaient en l'espèce remplies. Elle a examiné et jugé que la suppression de la rente ne pouvait pas intervenir en application des règles sur la reconsidération des décisions formellement entrées en force ( art. 53 al. 2 LPGA ). Si elle a envisagé une substitution de motifs, en rappelant notamment la règle posée par l' art. 31 al. 1 LAI , selon laquelle une amélioration du revenu dépassant 1500 fr. par an permet une révision de la rente conformément à l' art. 17 al. 1 LPGA , elle n'a cependant pas examiné si les conditions de ces dispositions étaient réalisées, ni partant constaté les faits y relatifs. Elle a retenu que l'office AI n'avait pas soutenu que l'éventualité d'une révision était réalisée, ni ne s'était prévalu d'une révision procédurale. A cet égard, l'office AI a motivé sa réponse au recours du 8 octobre 2019 en se référant uniquement aux conditions de la reconsidération, sans invoquer la possibilité d'une révision au sens de l' art. 17 LPGA . Aussi, les premiers juges n'ont-ils pas examiné la suppression de la rente en substituant une autre motivation à celle de l'administration, ce qui aurait au demeurant exigé, le cas échéant, d'entendre les parties sur ce point (cf. ATF 125 V 368 consid. 4 p. 370).</w:t>
      </w:r>
    </w:p>
    <w:p>
      <w:r>
        <w:rPr>
          <w:b/>
        </w:rPr>
        <w:t>E. 3.3</w:t>
      </w:r>
    </w:p>
    <w:p>
      <w:r>
        <w:t>Selon la jurisprudence, lorsque l'assureur social invoque une substitution de motifs - en requérant que la décision administrative fondée sur l' art. 17 LPGA soit examinée par l'autorité de recours sous l'angle de la reconsidération -, la juridiction cantonale n'est pas seulement autorisée mais tenue d'examiner la substitution de motifs requise (arrêts 8C_634/2017 du 20 février 2018, consid. 5.4; 8C_288/2016 du 14 novembre 2016, consid. 4.5; 9C_303/2010 du 5 juillet 2010, consid. 4.4, in SVR, 2011 IV n° 20 p. 53; THOMAS FLÜCKIGER, in: Commentaire bâlois, Allgemeiner Teil des Sozialversicherungsrechts, 2020, N 113 ad art. 17 LPGA ). En l'espèce, l'office recourant s'est contenté d'invoquer la reconsidération en instance cantonale pour justifier sa décision, sans invoquer la possibilité d'une substitution de motifs, ni apporter des éléments en faveur d'une révision voire d'une reconsidération procédurale. On ne saurait dès lors reprocher à la juridiction cantonale de n'avoir pas examiné le litige sous l'angle d'une substitution de motifs, ni lui imposer une telle manière de procéder. Par conséquent, le recours est mal fondé.</w:t>
      </w:r>
    </w:p>
    <w:p>
      <w:r>
        <w:rPr>
          <w:b/>
        </w:rPr>
        <w:t>E. 4</w:t>
      </w:r>
    </w:p>
    <w:p>
      <w:r>
        <w:t>Vu l'issue de la procédure, l'office recourant, qui succombe, supportera les frais judiciaires ainsi que les dépens que peut prétendre l'intimé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