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9C_415/2023 vom 12. Juli 2023</w:t>
      </w:r>
    </w:p>
    <w:p>
      <w:r>
        <w:t>Bundesgericht, 2023-07-12, DE</w:t>
      </w:r>
    </w:p>
    <w:p>
      <w:r>
        <w:rPr>
          <w:b/>
        </w:rPr>
        <w:t xml:space="preserve">Quelle: </w:t>
      </w:r>
      <w:r>
        <w:t>https://mcp.opencaselaw.ch/entscheid/bger_9C_415_2023</w:t>
      </w:r>
    </w:p>
    <w:p>
      <w:r>
        <w:t>FR: TF 9C_415/2023 du 12 juillet 2023</w:t>
      </w:r>
    </w:p>
    <w:p>
      <w:r>
        <w:t>IT: TF 9C_415/2023 del 12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9C_415/2023</w:t>
      </w:r>
    </w:p>
    <w:p>
      <w:r>
        <w:t>Urteil vom 12. Juli 2023</w:t>
      </w:r>
    </w:p>
    <w:p>
      <w:r>
        <w:t>III. öffentlich-rechtliche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Stiftung B.________,</w:t>
      </w:r>
    </w:p>
    <w:p>
      <w:r>
        <w:t>Beschwerdegegnerin.</w:t>
      </w:r>
    </w:p>
    <w:p>
      <w:r>
        <w:t>Gegenstand</w:t>
      </w:r>
    </w:p>
    <w:p>
      <w:r>
        <w:t>Berufliche Vorsorge (Zwangsanschluss an die Auffangeinrichtung),</w:t>
      </w:r>
    </w:p>
    <w:p>
      <w:r>
        <w:t>Beschwerde gegen das Urteil des Bundesverwaltungsgerichts vom 11. Mai 2023 (C-2312/2021).</w:t>
      </w:r>
    </w:p>
    <w:p>
      <w:r>
        <w:t>Nach Einsicht</w:t>
      </w:r>
    </w:p>
    <w:p>
      <w:r>
        <w:t>in die Beschwerde vom 22. Juni 2023 (Poststempel) gegen das Urteil des Bundesverwaltungsgerichts vom 11. Mai 2023,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auch von Beschwerde führenden Laien erwartet werden darf, auf die vorinstanzliche Begründung konkret einzugehen,</w:t>
      </w:r>
    </w:p>
    <w:p>
      <w:r>
        <w:t>dass die Vorinstanz eine Verletzung des rechtlichen Gehörs durch die Beschwerdegegnerin verneint hat,</w:t>
      </w:r>
    </w:p>
    <w:p>
      <w:r>
        <w:t>dass sie deren Beitragsverfügung vom 17. März 2021 hinsichtlich des grundsätzlichen Anspruchs sowie der Beseitigung des Rechtsvorschlags bestätigt hat, allerdings unter Korrektur des geschuldeten Betrags,</w:t>
      </w:r>
    </w:p>
    <w:p>
      <w:r>
        <w:t>dass das kantonale Gericht eine Verfahrenssistierung abgelehnt hat, ebenso wie die Durchführung eines Mediationsverfahrens,</w:t>
      </w:r>
    </w:p>
    <w:p>
      <w:r>
        <w:t>dass der Beschwerdeführer es vermissen lässt, sich mit den vorinstanzlichen Erwägungen - insbesondere zur abgelehnten Verfahrenssistierung und Mediation - auseinanderzusetzen und darzulegen, inwiefern diese Recht verletzen,</w:t>
      </w:r>
    </w:p>
    <w:p>
      <w:r>
        <w:t>dass die Beschwerde daher den inhaltlichen Mindestanforderungen nicht genügt,</w:t>
      </w:r>
    </w:p>
    <w:p>
      <w:r>
        <w:t>dass deshalb im vereinfachten Verfahren nach Art. 108 Abs. 1 lit. b und Abs. 2 BGG auf die Beschwerde nicht einzutreten ist,</w:t>
      </w:r>
    </w:p>
    <w:p>
      <w:r>
        <w:t>dass der Versicherte grundsätzlich kostenpflichtig ist, indessen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der Oberaufsichtskommission Berufliche Vorsorge OAK BV und dem Bundesamt für Sozialversicherungen schriftlich mitgeteilt.</w:t>
      </w:r>
    </w:p>
    <w:p>
      <w:r>
        <w:t>Luzern, 12. Juli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