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415/2007 vom 24. Juni 2008</w:t>
      </w:r>
    </w:p>
    <w:p>
      <w:r>
        <w:t>Bundesgericht, 2008-06-24, IT</w:t>
      </w:r>
    </w:p>
    <w:p>
      <w:r>
        <w:rPr>
          <w:b/>
        </w:rPr>
        <w:t xml:space="preserve">Quelle: </w:t>
      </w:r>
      <w:r>
        <w:t>https://mcp.opencaselaw.ch/entscheid/bger_9C_415_2007</w:t>
      </w:r>
    </w:p>
    <w:p>
      <w:r>
        <w:t>FR: TF 9C 415/2007 du 24 juin 2008</w:t>
      </w:r>
    </w:p>
    <w:p>
      <w:r>
        <w:t>IT: TF 9C 415/2007 del 24 giugno 2008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giudiziarie di fr. 1000.- sono poste a carico della ricorrente.</w:t>
      </w:r>
    </w:p>
    <w:p>
      <w:r>
        <w:rPr>
          <w:b/>
        </w:rPr>
        <w:t>E. 3</w:t>
      </w:r>
    </w:p>
    <w:p>
      <w:r>
        <w:t>La ricorrente verserà all'opponente la somma di fr. 2500.- a titolo di ripetibili della sede federale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 Lucerna, 24 giugno 2008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