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9C_414/2021 vom 2. August 2021</w:t>
      </w:r>
    </w:p>
    <w:p>
      <w:r>
        <w:t>Bundesgericht, 2021-08-02, DE</w:t>
      </w:r>
    </w:p>
    <w:p>
      <w:r>
        <w:rPr>
          <w:b/>
        </w:rPr>
        <w:t xml:space="preserve">Quelle: </w:t>
      </w:r>
      <w:r>
        <w:t>https://mcp.opencaselaw.ch/entscheid/bger_9C_414_2021</w:t>
      </w:r>
    </w:p>
    <w:p>
      <w:r>
        <w:t>FR: TF 9C_414/2021 du 2 août 2021</w:t>
      </w:r>
    </w:p>
    <w:p>
      <w:r>
        <w:t>IT: TF 9C_414/2021 del 2 agosto 2021</w:t>
      </w:r>
    </w:p>
    <w:p>
      <w:pPr>
        <w:pStyle w:val="Heading2"/>
      </w:pPr>
      <w:r>
        <w:t>Volltext</w:t>
      </w:r>
    </w:p>
    <w:p>
      <w:r>
        <w:t>Bundesgericht</w:t>
      </w:r>
    </w:p>
    <w:p>
      <w:r>
        <w:t>Tribunal fédéral</w:t>
      </w:r>
    </w:p>
    <w:p>
      <w:r>
        <w:t>Tribunale federale</w:t>
      </w:r>
    </w:p>
    <w:p>
      <w:r>
        <w:t>Tribunal federal</w:t>
      </w:r>
    </w:p>
    <w:p>
      <w:r>
        <w:t>9C_414/2021</w:t>
      </w:r>
    </w:p>
    <w:p>
      <w:r>
        <w:t>Urteil vom 2. August 2021</w:t>
      </w:r>
    </w:p>
    <w:p>
      <w:r>
        <w:t>II. sozialrechtliche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das Urteil des Bundesverwaltungsgerichts vom 7. Juni 2021 (C-6374/2020).</w:t>
      </w:r>
    </w:p>
    <w:p>
      <w:r>
        <w:t>Nach Einsicht</w:t>
      </w:r>
    </w:p>
    <w:p>
      <w:r>
        <w:t>in die von A.________ am 15. Juli 2021 abgefasste, beim Bundesgericht am 19. Juli 2021 eingegangene Beschwerde (Poststempel nicht lesbar) gegen das gemäss postamtlicher Bescheinigung an der von ihm bezeichneten schweizerischen Zustelladresse am 10. Juni 2021 zugegangene Urteil des Bundesverwaltungsgerichts vom 7. Juni 2021,</w:t>
      </w:r>
    </w:p>
    <w:p>
      <w:r>
        <w:t>in Erwägung,</w:t>
      </w:r>
    </w:p>
    <w:p>
      <w:r>
        <w:t>dass die Beschwerde, wie der Versicherte selber anerkennt, nicht innert der nach Art. 100 Abs. 1 BGG 30-tägigen, gemäss Art. 44 - 48 BGG am 12. Juli 2021 abgelaufenen Rechtsmittelfrist eingereicht worden ist,</w:t>
      </w:r>
    </w:p>
    <w:p>
      <w:r>
        <w:t>dass Umstände, die einen Fristwiederherstellungsgrund im Sinne von Art. 50 Abs. 1 BGG darstellen könnten, nicht ersichtlich sind,</w:t>
      </w:r>
    </w:p>
    <w:p>
      <w:r>
        <w:t>dass auf die Beschwerde indessen, selbst wenn sie rechtzeitig erfolgt wäre, nicht eingetreten werden könnte, weil sie zwar einen Antrag, aber keine hinreichende Begründung enthält (vgl. dazu Art. 42 Abs. 1 und 2 BGG ), indem den Ausführungen nicht entnommen werden kann, inwiefern die vorinstanzliche Sachverhaltsfeststellung im Sinne von Art. 97 Abs. 1 BGG - soweit überhaupt beanstandet - unzutreffend und die darauf beruhenden Erwägungen rechtsfehlerhaft sein sollen,</w:t>
      </w:r>
    </w:p>
    <w:p>
      <w:r>
        <w:t>dass deshalb im vereinfachten Verfahren nach Art. 108 Abs. 1 lit. a und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 August 2021</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