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9C_414/2015 vom 16. Oktober 2015</w:t>
      </w:r>
    </w:p>
    <w:p>
      <w:r>
        <w:t>Bundesgericht, 2015-10-16, FR</w:t>
      </w:r>
    </w:p>
    <w:p>
      <w:r>
        <w:rPr>
          <w:b/>
        </w:rPr>
        <w:t xml:space="preserve">Quelle: </w:t>
      </w:r>
      <w:r>
        <w:t>https://mcp.opencaselaw.ch/entscheid/bger_9C_414_2015</w:t>
      </w:r>
    </w:p>
    <w:p>
      <w:r>
        <w:t>FR: TF 9C_414/2015 du 16 octobre 2015</w:t>
      </w:r>
    </w:p>
    <w:p>
      <w:r>
        <w:t>IT: TF 9C_414/2015 del 16 ottobre 2015</w:t>
      </w:r>
    </w:p>
    <w:p>
      <w:pPr>
        <w:pStyle w:val="Heading2"/>
      </w:pPr>
      <w:r>
        <w:t>Erwägungen</w:t>
      </w:r>
    </w:p>
    <w:p>
      <w:r>
        <w:rPr>
          <w:b/>
        </w:rPr>
        <w:t>E. 1</w:t>
      </w:r>
    </w:p>
    <w:p>
      <w:r>
        <w:t>Saisi d'un recours en matière de droit public, le Tribunal fédéral examine d'office le droit fédéral (cf. art. 95 let. a et 106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Le Tribunal fédéral fonde son raisonnement juridique sur les faits retenus par l'autorité précédente (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140 III 264 consid. 2.3 p. 265 et les références).</w:t>
      </w:r>
    </w:p>
    <w:p>
      <w:r>
        <w:rPr>
          <w:b/>
        </w:rPr>
        <w:t>E. 2.1</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140 III 86 consid. 2 p. 88 et les références). Selon la jurisprudence, un mémoire de recours ne satisfait en particulier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139 I 306 consid. 1.2 p. 308). Il en va de même lorsque le recourant se borne à renvoyer aux moyens évoqués dans son recours cantonal ( ATF 133 II 396 consid. 3.2 p. 399 et les références).</w:t>
      </w:r>
    </w:p>
    <w:p>
      <w:r>
        <w:rPr>
          <w:b/>
        </w:rPr>
        <w:t>E. 2.2</w:t>
      </w:r>
    </w:p>
    <w:p>
      <w:r>
        <w:t>Dans la mesure où le recourant invite le Tribunal fédéral à compléter son mémoire par les griefs évoqués devant l'autorité précédente, ce procédé n'est pas admissible au regard des exigences de motivation posées à l' art. 42 al. 2 LTF . Partant, seuls les griefs présentés dans le mémoire de recours seront examinés.</w:t>
      </w:r>
    </w:p>
    <w:p>
      <w:r>
        <w:rPr>
          <w:b/>
        </w:rPr>
        <w:t>E. 3</w:t>
      </w:r>
    </w:p>
    <w:p>
      <w:r>
        <w:t>Le litige porte, principalement, sur le non-paiement de primes de l'assurance-maladie obligatoire des soins et de participations aux coûts échues et, accessoirement, sur la mainlevée des oppositions aux commandements de payer.</w:t>
      </w:r>
    </w:p>
    <w:p>
      <w:r>
        <w:rPr>
          <w:b/>
        </w:rPr>
        <w:t>E. 4.1</w:t>
      </w:r>
    </w:p>
    <w:p>
      <w:r>
        <w:t>Dans un premier moyen, le recourant reproche à l'autorité précédente d'avoir omis de vérifier la légitimation active de l'intimée. Il considère que les différentes poursuites et décisions ont été introduites au nom d'une société inexistante et en veut pour preuve les diverses et multiples adresses utilisées.</w:t>
      </w:r>
    </w:p>
    <w:p>
      <w:r>
        <w:t>Ce moyen tombe à faux. En dépit de l'autonomie dont elles disposent, les succursales et entités de l'intimée qui se sont régulièrement succédé au cours de la procédure sont dépourvues d'existence juridique et n'ont pas la capacité d'ester en justice (cf. ATF 140 III 175 consid. 4.1 p. 177). A la lecture des différents documents versés en procédure, il ne peut toutefois y avoir de doute, en l'espèce, sur la circonstance qu'elles agissaient au nom de Avanex Assurances SA, soit un assureur-maladie reconnu ( art. 12 al. 1 LAMal ). Conformément aux usages commerciaux, elles ont d'ailleurs constamment utilisé un papier à l'en-tête de l'intimée (cf. arrêt 4A_271/2009 du 3 août 2009 consid. 2.4).</w:t>
      </w:r>
    </w:p>
    <w:p>
      <w:r>
        <w:rPr>
          <w:b/>
        </w:rPr>
        <w:t>E. 4.2</w:t>
      </w:r>
    </w:p>
    <w:p>
      <w:r>
        <w:t>Dans un deuxième moyen, le recourant invoque l' art. 88 al. 2 LP et soutient, en substance, que la procédure sur opposition menée par l'intimée n'a pas suspendu le délai de péremption d'un an pour requérir la continuation de la poursuite. En d'autres termes, il reproche à l'autorité précédente de n'avoir pas constaté que la poursuite était périmée.</w:t>
      </w:r>
    </w:p>
    <w:p>
      <w:r>
        <w:rPr>
          <w:b/>
        </w:rPr>
        <w:t>E. 4.2.1</w:t>
      </w:r>
    </w:p>
    <w:p>
      <w:r>
        <w:t>Lorsque l'assuré n'a pas payé des primes ou des participations aux coûts échues, l'assureur lui envoie une sommation, précédée d'au moins un rappel écrit; il lui impartit un délai de 30 jours et l'informe des conséquences d'un retard de paiement ( art. 64a al. 1 LAMal ). Si, malgré la sommation, l'assuré ne paie pas dans le délai imparti les primes, les participations aux coûts et les intérêts moratoires dus, l'assureur doit engager des poursuites (art. 64a al. 2, 1</w:t>
      </w:r>
    </w:p>
    <w:p>
      <w:r>
        <w:t>ère phrase, LAMal). Le créancier à la poursuite duquel il est fait opposition au commandement de payer agit ensuite par la voie de la procédure civile ou administrative pour faire reconnaître son droit (art. 79, 1</w:t>
      </w:r>
    </w:p>
    <w:p>
      <w:r>
        <w:t>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 ATF 134 III 115 consid. 4.1 p. 120; voir également arrêt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w:t>
      </w:r>
    </w:p>
    <w:p>
      <w:r>
        <w:t>ème phrase, LP; ATF 134 III 115 consid. 4.1.2 p. 120).</w:t>
      </w:r>
    </w:p>
    <w:p>
      <w:r>
        <w:rPr>
          <w:b/>
        </w:rPr>
        <w:t>E. 4.2.2</w:t>
      </w:r>
    </w:p>
    <w:p>
      <w:r>
        <w:t>Lorsque la poursuite n'est pas suspendue par l'opposition ou par un jugement, le créancier peut requérir la continuation de la poursuite à l'expiration d'un délai de 20 jours à compter de la notification du commandement de payer ( art. 88 al. 1 LP ). Ce droit se périme par un an à compter de la notification du commandement de payer. Si opposition a été formée, ce délai ne court pas entre l'introduction de la procédure judiciaire ou administrative et le jugement définitif ( art. 88 al. 2 LP ). Bien que le texte légal ne le précise pas expressément, contrairement à d'autres dispositions plus explicites (cf. p. ex. art. 86 al. 3 LTVA [RS 641.20]),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 ATF 134 III 115 consid. 4.1.2 p. 121; 107 III 60 consid. 3 p. 65). Le délai de péremption de l' art. 88 al. 2 LP est ainsi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 ATF 126 III 479 consid. 2 p. 480).</w:t>
      </w:r>
    </w:p>
    <w:p>
      <w:r>
        <w:rPr>
          <w:b/>
        </w:rPr>
        <w:t>E. 4.2.3</w:t>
      </w:r>
    </w:p>
    <w:p>
      <w:r>
        <w:t>En l'espèce, les différentes oppositions formées par le recourant aux commandements de payer ont entraîné l'ouverture d'une procédure administrative de mainlevée. Conformément à l'art. 88 al. 2, 2ème phrase, LP, le délai de péremption a été suspendu. Ce délai demeure suspendu aussi longtemps que le créancier n'a pas la faculté d'obtenir une déclaration authentique certifiant le caractère définitif et exécutoire du jugement levant l'opposition au commandement de payer, respectivement jusqu'au prononcé du jugement de dernière instance (cf.</w:t>
      </w:r>
    </w:p>
    <w:p>
      <w:r>
        <w:t>supra, consid. 4.2.2). En d'autres termes, la suspension du délai de péremption ne sera levée qu'au moment de la notification du présent arrêt (cf. arrêt B 60/04 du 20 avril 2005). Dans ces circonstances, la poursuite n'est pas périmée et le moyen doit être rejeté.</w:t>
      </w:r>
    </w:p>
    <w:p>
      <w:r>
        <w:rPr>
          <w:b/>
        </w:rPr>
        <w:t>E. 4.3</w:t>
      </w:r>
    </w:p>
    <w:p>
      <w:r>
        <w:t>Dans un troisième et dernier moyen, le recourant estime que la durée des procédures conduites par l'intimée l'a empêché de s'assurer ces dernières années auprès d'une caisse offrant des primes d'assurance-maladie plus avantageuses. Il y voit une violation du principe du libre choix de l'assureur.</w:t>
      </w:r>
    </w:p>
    <w:p>
      <w:r>
        <w:t>Aux termes de l' art. 64a al. 6 LAMal , l'assuré en retard de paiement ne peut pas, en dérogation à l' art. 7 LAMal , changer d'assureur tant qu'il n'a pas payé intégralement les primes et les participations aux coûts arriérées ainsi que les intérêts moratoires et les frais de poursuite. Dans le jugement attaqué, l'autorité précédente a constaté que le recourant a fait l'objet de poursuites portant sur des montants remontant à l'année de son affiliation, en 2008, et qu'il est en retard de paiement. Le recourant n'en disconvient pas. Dans ces conditions, au vu de la disposition précitée, c'est à juste titre que la cour cantonale a retenu qu'il ne pouvait changer d'assureur tant qu'il ne s'est pas acquitté de toutes ses obligations financières. Rien n'empêchait par ailleurs le recourant de s'acquitter - sous réserve de l'issue de la procédure - des sommes réclamées s'il entendait changer d'assureur (cf. arrêt 9C_38/2014 du 24 avril 2014 consid. 2.2). Le moyen ne peut ainsi qu'être rejeté.</w:t>
      </w:r>
    </w:p>
    <w:p>
      <w:r>
        <w:rPr>
          <w:b/>
        </w:rPr>
        <w:t>E. 5.1</w:t>
      </w:r>
    </w:p>
    <w:p>
      <w:r>
        <w:t>Les considérants qui précédent conduisent au rejet du recours.</w:t>
      </w:r>
    </w:p>
    <w:p>
      <w:r>
        <w:rPr>
          <w:b/>
        </w:rPr>
        <w:t>E. 5.2</w:t>
      </w:r>
    </w:p>
    <w:p>
      <w:r>
        <w:t>L'autorité précédente a toutefois omis de statuer, semble-t-il, sur le recours daté du 8 décembre 2014 portant sur la poursuite n° I.________. Il convient par conséquent de transmettre le dossier à la Cour de justice de la République et canton de Genève, Chambre des assurances sociales, pour qu'elle statue sur ledit recours, pour autant qu'elle ne l'ait pas fait à ce jour.</w:t>
      </w:r>
    </w:p>
    <w:p>
      <w:r>
        <w:rPr>
          <w:b/>
        </w:rPr>
        <w:t>E. 5.3</w:t>
      </w:r>
    </w:p>
    <w:p>
      <w:r>
        <w:t>Le présent arrêt rend sans objet la demande d'effet suspensif présentée par le recourant.</w:t>
      </w:r>
    </w:p>
    <w:p>
      <w:r>
        <w:rPr>
          <w:b/>
        </w:rPr>
        <w:t>E. 6</w:t>
      </w:r>
    </w:p>
    <w:p>
      <w:r>
        <w:t>Succombant, le recourant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