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9C_413/2019 vom 4. Dezember 2019</w:t>
      </w:r>
    </w:p>
    <w:p>
      <w:r>
        <w:t>Bundesgericht, 2019-12-04, FR</w:t>
      </w:r>
    </w:p>
    <w:p>
      <w:r>
        <w:rPr>
          <w:b/>
        </w:rPr>
        <w:t xml:space="preserve">Quelle: </w:t>
      </w:r>
      <w:r>
        <w:t>https://mcp.opencaselaw.ch/entscheid/bger_9C_413_2019</w:t>
      </w:r>
    </w:p>
    <w:p>
      <w:r>
        <w:t>FR: TF 9C_413/2019 du 4 décembre 2019</w:t>
      </w:r>
    </w:p>
    <w:p>
      <w:r>
        <w:t>IT: TF 9C_413/2019 del 4 dicembre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Quant au recourant, il ne peut critiquer la constatation de faits importants pour le jugement de la cause que si ceux-ci ont été constatés de manière manifestement inexacte - c'est-à-dire arbitraire au sens de l' art. 9 Cst. ( ATF 143 I 310 consid. 2.2 p. 313 et la référence) -, ou en violation du droit au sens de l' art. 95 LTF , et si la correction du vice est susceptible d'influer sur le sort de la cause ( art. 97 al. 1 LTF ). Le recourant qui entend s'écarter des faits constatés doit expliquer de manière circonstanciée en quoi les conditions de l' art. 105 al. 2 LTF sont réalisées.</w:t>
      </w:r>
    </w:p>
    <w:p>
      <w:r>
        <w:rPr>
          <w:b/>
        </w:rPr>
        <w:t>E. 2</w:t>
      </w:r>
    </w:p>
    <w:p>
      <w:r>
        <w:t>Le litige porte sur le droit du recourant à une rente d'invalidité, singulièrement sur le point de savoir si son état de santé a subi une aggravation depuis mi-décembre 2010 dans une mesure ouvrant le droit à cette prestation. Le jugement entrepris expose les normes et la jurisprudence nécessaires à la résolution du litige, en particulier celles concernant le droit à la rente ( art. 28 LAI ) et la révision ( art. 17 LPGA ), ainsi que la valeur probante des rapports médicaux et le principe de la libre appréciation des preuves ( ATF 134 V 231 consid. 5.1 p. 232; 125 V 351 consid. 3 p. 352). Il suffit d'y renvoyer.</w:t>
      </w:r>
    </w:p>
    <w:p>
      <w:r>
        <w:rPr>
          <w:b/>
        </w:rPr>
        <w:t>E. 3</w:t>
      </w:r>
    </w:p>
    <w:p>
      <w:r>
        <w:t>Le recourant demande tout d'abord que l'état de fait établi par la juridiction cantonale soit complété par "divers éléments pertinents" que le jugement entrepris ne mentionnerait pas "en violation du droit ( art. 97 al. 1 LTF ) ". Parmi les compléments requis (mention d'un accident de la circulation routière survenu en 1999, annulation par l'office AI d'un premier mandat d'expertise pluridisciplinaire, demande de récusation par l'assuré du docteur D.________ travaillant auprès du CEMed, contestation quant au volet rhumatologique de l'expertise initialement envisagé par l'office AI et absence de la mention que les experts du CEMed n'ont procédé à aucun examen complémentaire), on constate que le dernier invoqué a été mentionné et apprécié par l'autorité judiciaire de recours. Les premiers juges ont mis en évidence les raisons pour lesquelles des examens complémentaires n'étaient pas indispensables pour que les experts pussent se prononcer en connaissance de cause (consid. 9 du jugement entrepris). Par ailleurs, le recourant n'établit pas l'influence que pourraient avoir les autres compléments sur l'issue du litige ( art. 97 al. 1 LTF ). Il manque dès lors d'établir le caractère arbitraire de leur omission par l'autorité précédente, alors qu'il lui appartient d'indiquer de façon précise en quoi les constatations de fait des premiers juges ou l'absence de celles-ci sont insoutenables au sens de l' art. 9 Cst. (arrêt 9C_785/2018 du 10 mai 2019 consid. 2.2 et les références). Il n'y a dès lors pas lieu de compléter l'état de fait retenu par la juridiction cantonale.</w:t>
      </w:r>
    </w:p>
    <w:p>
      <w:r>
        <w:rPr>
          <w:b/>
        </w:rPr>
        <w:t>E. 4</w:t>
      </w:r>
    </w:p>
    <w:p>
      <w:r>
        <w:t>Invoquant une violation de son droit d'être entendu ( art. 29 al. 1 Cst. ) et de l' art. 44 LPGA , le recourant soutient ensuite que l'expertise du 11 juillet 2017 - dont les conclusions ont été suivies par la juridiction cantonale pour constater une pleine capacité de travail de l'assuré dans une activité adaptée après le 15 décembre 2010 - devait être écartée de son dossier. Il fait valoir qu'un tiers médecin a participé à l'expertise sans que son nom ne lui ait été communiqué. Une telle manière de procéder contreviendrait de manière flagrante à ses droits de participation et d'être entendu.</w:t>
      </w:r>
    </w:p>
    <w:p>
      <w:r>
        <w:rPr>
          <w:b/>
        </w:rPr>
        <w:t>E. 4.1</w:t>
      </w:r>
    </w:p>
    <w:p>
      <w:r>
        <w:t>Le point de savoir si une expertise réalise les exigences de l' art. 44 LPGA constitue une question de droit que le Tribunal fédéral examine librement (arrêt 9C_296/2018 du 14 février 2019 consid. 5.1 et les arrêts cités).</w:t>
      </w:r>
    </w:p>
    <w:p>
      <w:r>
        <w:rPr>
          <w:b/>
        </w:rPr>
        <w:t>E. 4.2</w:t>
      </w:r>
    </w:p>
    <w:p>
      <w:r>
        <w:t>Selon l' art. 44 LPGA , si l'assureur doit recourir aux services d'un expert indépendant pour élucider les faits, il donne connaissance du nom de celui-ci aux parties. Celles-ci peuvent récuser l'expert pour des raisons pertinentes et présenter des contre-propositions.</w:t>
      </w:r>
    </w:p>
    <w:p>
      <w:r>
        <w:rPr>
          <w:b/>
        </w:rPr>
        <w:t>E. 4.2.1</w:t>
      </w:r>
    </w:p>
    <w:p>
      <w:r>
        <w:t>Par expert au sens de l' art. 44 LPGA , il faut comprendre celui qui (en tant que sujet mandaté) effectue une expertise et en porte la responsabilité. Il s'agit d'une part du sujet qui est mandaté pour l'expertise et, d'autre part, de la personne physique qui élabore l'expertise ( ATF 132 V 376 consid. 6.1 p. 380). La communication du nom de l'expert doit permettre à l'assuré de reconnaître s'il s'agit d'une personne à l'encontre de laquelle il pourrait disposer d'un motif de récusation (Art. 44, 2ème phrase, LPGA; HANS-JAKOB MOSIMANN, Gutachten: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 ATF 132 V 376 consid. 8.4 p. 385, qui porte en particulier sur la communication du nom des médecins en cas d'expertise auprès d'un Centre d'observation médicale [COMAI]; arrêt 9C_228/2011 du 10 août 2011 consid. 3.1 et les arrêts cités).</w:t>
      </w:r>
    </w:p>
    <w:p>
      <w:r>
        <w:rPr>
          <w:b/>
        </w:rPr>
        <w:t>E. 4.2.2</w:t>
      </w:r>
    </w:p>
    <w:p>
      <w:r>
        <w:t>En sa qualité de mandant, l'assureur a droit à ce que l'expertise soit effectuée par la personne mandatée. La substitution ou le transfert (même partiels) du mandat à un autre spécialiste suppose en principe l'autorisation de l'organe ou de la personne qui a mis en oeuvre l'expertise (arrêt 8C_596/2013 du 24 janvier 2014 consid. 6.1.2.1 et les références). L'obligation d'exécuter personnellement le mandat d'expertise n'exclut cependant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(ALFRED BÜHLER, Die Mitwirkung Dritter bei der medizinischen Begutachtung im sozialversicherungsrechtlichen Verwaltungsverfahren, Jusletter du 3 septembre 2007 n° 27 s; JACQUES OLIVIER PIGUET, in Commentaire romand, Loi sur la partie générale des assurances sociales, 2018, n° 12 ad art. 44 LPGA ).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I 874/06 du 8 août 2007 consid. 4.1.1; BÜHLER, op. cit. n° 29).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(BÜHLER, op. cit., n° 5; sur les différentes étapes d'élaboration d'une expertise, ULRIKE HOFFMANN-RICHTER/JÖRG JEGER/HOLGER SCHMIDT, Das Handwerk ärztlicher Begutachtung, 2012, p. 25 ss; cf. aussi, GABRIELA RIEMER-KAFKA, Expertises en médecine des assurances, 3e éd. 2018, p. 53 ss).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w:t>
      </w:r>
    </w:p>
    <w:p>
      <w:r>
        <w:rPr>
          <w:b/>
        </w:rPr>
        <w:t>E. 4.2.3</w:t>
      </w:r>
    </w:p>
    <w:p>
      <w:r>
        <w:t>Il ressort de ces principes posés par la jurisprudence en relation avec l' art. 44 LPGA ,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(KIESER, ATSG-Kommentar, 3e éd., 2015, n° 34 ad art. 44 LPGA ; MARCO WEISS, Mitwirkungsrechte vor der Einholung medizinischer Gutachten in der Invalidenversicherung, 2018, p. 162). Ainsi, le nom de la tierce personne qui assiste l'expert en effectuant des analyses médicales (p. ex. une prise de sang) n'a pas à être communiqué.</w:t>
      </w:r>
    </w:p>
    <w:p>
      <w:r>
        <w:t>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(cf. Hoffmann-Richter/Jeger/Schmidt, op. cit., p. 49 s.). Une telle sélection contribue au résultat de l'expertise.</w:t>
      </w:r>
    </w:p>
    <w:p>
      <w:r>
        <w:t>Dans les constellations mentionnées, les prescriptions de l' 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réunies dans une procédure selon l' art. 23 al. 2 LTF (décision prononcée par voie de circulation en date du 29 novembre 2019).</w:t>
      </w:r>
    </w:p>
    <w:p>
      <w:r>
        <w:rPr>
          <w:b/>
        </w:rPr>
        <w:t>E. 4.3.1</w:t>
      </w:r>
    </w:p>
    <w:p>
      <w:r>
        <w:t>L'expertise du CEMed du 11 juillet 2017 a été signée par les docteurs B.________ et C.________, dont les noms figurent sous la rubrique "Expert (s) " de la première page du rapport. En introduction (p. 2 de l'expertise), les experts ont indiqué les modalités de l'expertise, en mentionnant les points suivants: l'expertise a été réalisée "sur la base d'une collaboration pluridisciplinaire"; le dossier a été analysé et résumé par "un médecin ne participant pas aux examens"; les experts ont eux-mêmes examiné séparément l'assuré après avoir lu attentivement le dossier et le résumé; les experts ont établi conjointement le rapport après discussion interdisciplinaire; le document final a été "soumis en dernière relecture à un médecin expert n'ayant pas examiné Monsieur A.________, afin de juger de la clarté du texte et de la pertinence des conclusions"; l'expertise, nécessitant un consensus à chaque niveau a été établie selon les règles de l'art et en toute indépendance des parties.</w:t>
      </w:r>
    </w:p>
    <w:p>
      <w:r>
        <w:rPr>
          <w:b/>
        </w:rPr>
        <w:t>E. 4.3.2</w:t>
      </w:r>
    </w:p>
    <w:p>
      <w:r>
        <w:t>Le nom du médecin qui a été chargé d'analyser et de résumer le dossier, et celui du "médecin expert" qui a relu l'expertise - à supposer qu'il ne s'agisse pas de la même personne - ne figurent pas dans le rapport des docteurs B.________ et C.________, ni n'ont été communiqués au recourant avant le début des examens médicaux. Au regard des activités effectuées par ces médecins, on constate qu'ils ont agi en tant qu'auxiliaires des experts, puisqu'ils ont eu pour tâches, d'une part, d'analyser et de résumer le dossier et, d'autre part, de relire le rapport d'expertise pour en vérifier la cohérence formelle. Ils n'ont en revanche pas examiné le recourant, la participation aux examens a été expressément et doublement exclue.</w:t>
      </w:r>
    </w:p>
    <w:p>
      <w:r>
        <w:t>Les tâches dont les médecins auxiliaires ont été chargés par les docteurs B.________ et C.________ ne peuvent pas être considérées comme secondaires en l'espèce; par leur intervention, ces médecins ont contribué au résultat de l'expertise (consid. 4.2.3 supra). En conséquence, leur nom aurait dû être communiqué au préalable au recourant conformément à l' art. 44 LPGA et le non-respect de cette exigence constitue une violation de ses droits de participation et d'être entendu (cf. arrêt 8C_254/2010 du 15 septembre 2010 consid. 4.1.2).</w:t>
      </w:r>
    </w:p>
    <w:p>
      <w:r>
        <w:rPr>
          <w:b/>
        </w:rPr>
        <w:t>E. 4.4</w:t>
      </w:r>
    </w:p>
    <w:p>
      <w:r>
        <w:t>Contrairement à ce que voudrait le recourant, le défaut formel dont est entachée la procédure d'expertise ne conduit pas à écarter d'emblée le rapport du CEMed du 11 juillet 2017. Les droits de participation du recourant ont été affectés dans la mesure où il n'a pas eu connaissance du nom du ou des auxiliaires chargés de résumer et de relire l'expertise. Il a cependant pu se déterminer au préalable sur la désignation des experts B.________ et C.________, qui, selon leurs indications, ont conjointement établi le rapport après qu'ils en aient tous deux discuté à la suite de leur lecture du dossier et leur examen médical séparé de l'assuré. S'ils ont ainsi disposé d'un résumé du dossier établi par un tiers de leur choix, ils en ont vérifié la conformité aux pièces, puisqu'ils ont dûment pris connaissance de l'ensemble et procédé à leur propre analyse de celles-ci.</w:t>
      </w:r>
    </w:p>
    <w:p>
      <w:r>
        <w:t>Dans ces circonstances, dans lesquelles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 cette fin, il convient de placer le recourant dans la situation dans laquelle il peut reconnaître s'il entend ou non soulever un motif de récusation à l'encontre du ou des médecins auxiliaires impliqués. La cause doit donc être renvoyée à l'office AI pour qu'il procède aux démarches nécessaires pour que le nom du ou des médecins dont les docteurs B.________ et C.________ s'étaient adjoint l'assistance soit communiqué au recourant et que celui-ci puisse se prononcer sur un éventuel motif de récusation. Il incombera ensuite à l'intimé de rendre une nouvelle décision sur le droit du recourant à une rente d'invalidité (consid. 2 supra).</w:t>
      </w:r>
    </w:p>
    <w:p>
      <w:r>
        <w:rPr>
          <w:b/>
        </w:rPr>
        <w:t>E. 5</w:t>
      </w:r>
    </w:p>
    <w:p>
      <w:r>
        <w:t>Il résulte de ce qui précède que le recours doit être admis. Vu l'issue de la procédure, qui relève de motifs formels, il convient de renoncer à un échange d'écritures ( art. 102 al. 1 LTF ; arrêt 9C_255/2019 du 16 juillet 2019 consid. 5 et la référence).</w:t>
      </w:r>
    </w:p>
    <w:p>
      <w:r>
        <w:rPr>
          <w:b/>
        </w:rPr>
        <w:t>E. 6</w:t>
      </w:r>
    </w:p>
    <w:p>
      <w:r>
        <w:t>Succombant, l'intimé supportera les frais de justice afférents à la procédure ( art. 66 al. 1 LTF ), ainsi que l'indemnité de dépens que peut prétendre le recourant ( art. 65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