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413/2010 vom 9. September 2010</w:t>
      </w:r>
    </w:p>
    <w:p>
      <w:r>
        <w:t>Bundesgericht, 2010-09-09, DE</w:t>
      </w:r>
    </w:p>
    <w:p>
      <w:r>
        <w:rPr>
          <w:b/>
        </w:rPr>
        <w:t xml:space="preserve">Quelle: </w:t>
      </w:r>
      <w:r>
        <w:t>https://mcp.opencaselaw.ch/entscheid/bger_9C_413_2010</w:t>
      </w:r>
    </w:p>
    <w:p>
      <w:r>
        <w:t>FR: TF 9C 413/2010 du 9 septembre 2010</w:t>
      </w:r>
    </w:p>
    <w:p>
      <w:r>
        <w:t>IT: TF 9C 413/2010 del 9 settembre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ob die Vorinstanz die Anspruchsberechtigung der Versicherten bundesrechtskonform verneint hat.</w:t>
      </w:r>
    </w:p>
    <w:p>
      <w:r>
        <w:rPr>
          <w:b/>
        </w:rPr>
        <w:t>E. 2.1</w:t>
      </w:r>
    </w:p>
    <w:p>
      <w:r>
        <w:t>Die Vorinstanz erwog, gestützt auf das Gutachten des Instituts Y.________, dem volle Beweiskraft zukomme, sei die Beschwerdeführerin noch zu 85 % arbeitsfähig. Da es für eine Invalidität grundsätzlich einer bleibenden oder längere Zeit dauernden Erwerbsunfähigkeit bedürfe, sei die etwa drei Mal pro Jahr während ungefähr fünf Tagen bestehende volle Arbeitsunfähigkeit nicht relevant. Sodann bestünden keine besonderen Einschränkungen in gewissen Tätigkeitsfeldern und die hypothetischen Vergleichseinkommen seien ohne Weiteres ermittelbar, weshalb der Betätigungs- und der Einkommensvergleich zum selben Ergebnis führten. Der für einen Rentenanspruch erforderliche minimale Invaliditätsgrad von 40 % werde mit 15 % deutlich unterschritten.</w:t>
      </w:r>
    </w:p>
    <w:p>
      <w:r>
        <w:rPr>
          <w:b/>
        </w:rPr>
        <w:t>E. 2.2</w:t>
      </w:r>
    </w:p>
    <w:p>
      <w:r>
        <w:t>Die Beschwerdeführerin rügt, die Vorinstanz sei mit keinem Wort auf den Bericht des Dr. med. I.________ eingegangen und habe dadurch den Grundsatz der freien Beweiswürdigung verletzt. Indem das kantonale Gericht nicht auf die von ihr gestellten Beweisanträge eingegangen sei, habe es zudem das rechtliche Gehör verletzt. Willkürlich sei der angefochtene Entscheid, soweit das kantonale Gericht ohne entsprechende medizinische Fachkenntnisse selbst eine Auswertung der CT-Untersuchung vom 22. Oktober 2008 sowie des MRI-Befundes vom 17. September 2008 vornehme und soweit es feststelle, es träten nur ungefähr drei Krankheitsschübe pro Jahr auf. Schliesslich halte sie daran fest, dass der Invaliditätsgrad aufgrund eines Betätigungsvergleiches zu ermitteln sei.</w:t>
      </w:r>
    </w:p>
    <w:p>
      <w:r>
        <w:rPr>
          <w:b/>
        </w:rPr>
        <w:t>E. 3.1</w:t>
      </w:r>
    </w:p>
    <w:p>
      <w:r>
        <w:t>Im Sozialversicherungsverfahren gelten der Untersuchungsgrundsatz sowie der Grundsatz der freien Beweiswürdigung (vgl. Art. 43 Abs. 1 ATSG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Die Beweise sind ohne Bindung an förmliche Beweisregeln umfassend und pflichtgemäss zu würdigen. Die kantonalen Versicherungsgerichte haben somit alle Beweismittel, unabhängig davon, von wem sie stammen, objektiv zu prüfen und danach zu entscheiden,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w:t>
      </w:r>
    </w:p>
    <w:p>
      <w:r>
        <w:rPr>
          <w:b/>
        </w:rPr>
        <w:t>E. 3.2</w:t>
      </w:r>
    </w:p>
    <w:p>
      <w:r>
        <w:t>Die konkrete Beweiswürdigung ist wie die darauf beruhende Sachverhaltsfeststellung für das Bundesgericht verbindlich, sofern sie nicht offensichtlich unrichtig ist oder auf einer Rechtsverletzung im Sinne von Artikel 95 beruht ( Art. 105 Abs. 1 und 2 BGG ; Urteil 9C_323/2009 vom 14. Juli 2009 E. 3).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9C_161/2009 vom 18. September 2009 E. 1.2 mit Hinweisen).</w:t>
      </w:r>
    </w:p>
    <w:p>
      <w:r>
        <w:rPr>
          <w:b/>
        </w:rPr>
        <w:t>E. 4.1</w:t>
      </w:r>
    </w:p>
    <w:p>
      <w:r>
        <w:t>Die Beurteilungen der Ärzte des Instituts Y.________ sowie des Privatgutachters Dr. med. I.________ stimmen darin überein, dass die Versicherte an einem periodischen Erkrankungssyndrom unklarer Ätiologie leidet (ICD-10 M35.9). Uneinigkeit besteht hinsichtlich der verbleibenden Arbeitsfähigkeit.</w:t>
      </w:r>
    </w:p>
    <w:p>
      <w:r>
        <w:rPr>
          <w:b/>
        </w:rPr>
        <w:t>E. 4.2</w:t>
      </w:r>
    </w:p>
    <w:p>
      <w:r>
        <w:t>Die Ärzte des Instituts Y.________ hielten fest, dass die Beschwerdeführerin zwar während der Krankheitsschübe für jegliche Tätigkeit gänzlich arbeitsunfähig, hingegen in krankheitsfreien Intervallen uneingeschränkt arbeitsfähig sei bei einer geringen Leistungseinschränkung von 10 bis 20 %. Weiter führten die Gutachter aus, die von Dr. med. B.________ auf 50 % geschätzte Arbeitsunfähigkeit mit Neubeurteilung nach sechs Monaten könne in Abwesenheit gesteigerter Entzündungsparameter sowie angesichts eines komplett unauffälligen rheumatologischen Status im Krankheitsintervall nicht bestätigt werden. Gleiches gelte, in Abwesenheit einer objektivierbaren Pathologie im krankheitsfremden Intervall, für die von Hausarzt Dr. med. W.________ (Bericht vom 3. August 2005) und Dr. med. C.________ (Bericht vom 15. August 2005), attestierte Arbeitsunfähigkeit; diese Beurteilungen reflektierten vielmehr die subjektive Einschätzung der Versicherten.</w:t>
      </w:r>
    </w:p>
    <w:p>
      <w:r>
        <w:rPr>
          <w:b/>
        </w:rPr>
        <w:t>E. 4.3</w:t>
      </w:r>
    </w:p>
    <w:p>
      <w:r>
        <w:t>Demgegenüber führte Dr. med. I.________ im Wesentlichen aus, in der angestammten Tätigkeit bestehe eine Arbeitsunfähigkeit von 50 %, insbesondere weil es doch viele Tage gebe, an denen die Versicherte grippale Symptome aufweise, entsprechend 100 % arbeitsunfähig sei und sie sich im Anschluss daran jeweils wieder etwas erholen müsse. In den freien Intervallen sei eine gewisse Arbeitsfähigkeit gegeben, diese dürfte im Bereich von 60 % liegen. Zähle man die Tage mit vollständiger Arbeitsunfähigkeit wegen entzündlicher Schübe ab, ergebe dies eine Arbeitsunfähigkeit von zirka 50 % sowohl im Arbeits- als auch im Haushaltsbereich. Soweit die Ärzte des Instituts Y.________ in den freien Intervallen eine Beeinträchtigung der Arbeitsfähigkeit verneinen, müsse dies in Frage gestellt werden. Die in den Krankheitsschüben festgestellten Gelenksprobleme, die Serositis sowie erhöhte Entzündungsparameter erklärten die Beschwerden nur teilweise; anzunehmen sei eine entzündliche Krankheit mit wiederkehrenden Schüben. Es müsse "von der Möglichkeit und in diesem Sinne von der Wahrscheinlichkeit ausgegangen werden", dass sich bei dieser ein Fatigue-Syndrom etabliert habe (ähnlich wie bei multipler Sklerose oder Kollagenosen). Dass die Ärzte drs Instituts Y.________ diesen Zusammenhang nicht in Betracht zogen, sei für ihn schwer verständlich.</w:t>
      </w:r>
    </w:p>
    <w:p>
      <w:r>
        <w:rPr>
          <w:b/>
        </w:rPr>
        <w:t>E. 5.1</w:t>
      </w:r>
    </w:p>
    <w:p>
      <w:r>
        <w:t>Soweit die Versicherte die vorinstanzliche Würdigung der MR- und CT-Befunde (vom 17. September bzw. 22. Oktober 2008) rügt, kann ihr nicht gefolgt werden. Die Vorinstanz hat lediglich die erhobenen Befunde wiedergegeben bzw. festgehalten, dass die festgestellten degenerativen Veränderungen mit Blick auf die Art der angestammten Tätigkeit nicht ins Gewicht fallen; dabei ist sie in keiner Weise in Willkür verfallen. Nicht willkürlich ist des Weiteren die Feststellung, die Krankheitsschübe träten etwa drei Mal jährlich auf, zumal die Beschwerdeführerin selbst anlässlich der Begutachtung im Institut Y.________ diese Häufigkeit angab (und erst nach Erlass des Einspracheentscheides vom 30. September 2008 gegenüber Dr. med. I.________ erklärte, die Schübe träten ca. alle acht Wochen auf; Bericht vom 10. Dezember 2008); die dem angefochtenen Entscheid zu Grunde liegende Häufigkeit wird überdies durch weitere ärztliche Berichte gestützt (Schreiben des Dr. med. C.________, Chefarzt medizinische Klinik am Spital X.________ vom 10. Dezember 2004; vgl. auch Aktenkonsilium des Prof. M. K.________, Chefarzt am Spital M.________, vom 27. Oktober 2005, wonach im Jahre 2003 vier Schübe, im Jahre 2004 kein Schub aufgetreten sei).</w:t>
      </w:r>
    </w:p>
    <w:p>
      <w:r>
        <w:rPr>
          <w:b/>
        </w:rPr>
        <w:t>E. 5.2</w:t>
      </w:r>
    </w:p>
    <w:p>
      <w:r>
        <w:t>Zu prüfen bleibt die gerügte Würdigung der medizinischen Akten. Der Bericht des Dr. med. I.________ vom 10. Dezember 2008 datiert nach dem Grenze der richterlichen Überprüfungsbefugnis bildenden Einspracheentscheid vom 30. September 2008. Er betrifft indes die Beschwerden, welche die Versicherte bereits vor dem 30. September 2008 geschildert hatte und die auch Gegenstand der Begutachtung des Instituts Y.________ vom 7. November 2007 waren. Dass sich der Zustand der Versicherten in der Zwischenzeit verschlechtert hätte, ist den Ausführungen des Dr. med. I.________ nicht zu entnehmen. Bei dieser Ausgangslage waren seine Einschätzungen grundsätzlich im vorinstanzlichen Entscheid zu berücksichtigen. Das kantonale Gericht gab zwar mit Verfügung vom 22. Dezember 2008 der Beschwerdegegnerin Gelegenheit, sich zum Bericht des Dr. med. I.________ zu äussern. Im angefochtenen Entscheid erwähnte es diesen aber weder in der Prozessgeschichte noch in der Beweiswürdigung; eine Auseinandersetzung mit den Diskrepanzen zwischen der darin enthaltenen Beurteilung und den Einschätzungen der Ärzte des Instituts Y.________ ist entsprechend unterblieben. Damit verletzte die Vorinstanz die bundesrechtlichen Beweiswürdigungsregeln (E. 3.2 hievor). Dass die RAD-Ärzte Dr. med. H.________, Facharzt für Innere Medizin, und PD Dr. med. T.________, Facharzt für Neurologie, am 2. Juli 2008 auf Frage der IV-Stelle, ob der von der Versicherten verlangte Arztbericht bei Dr. med. I.________ einzuholen sei, antworteten, die durch das Instituts Y.________ erfolgten Untersuchungen deckten zusammen mit der psychiatrischen Begutachtung die medizinische Lage ab und könnten als ausreichend angesehen werden (welche Formulierung auch Eingang in den Einspracheentscheid fand), ändert daran nichts. Dies führt zur Gutheissung der Beschwerde, zur Aufhebung des angefochtenen Entscheids und zur Rückweisung der Sache an die Vorinstanz zu neuer Beurteilung, namentlich zur rechtsgenüglichen Würdigung der medizinischen Unterlagen. Ob es weiterhin dabei bleibt, dass ein Einkommensvergleich zum selben Ergebnis führt wie ein erwerblich gewichteter Betätigungsvergleich - welche Erwägung im angefochtenen Entscheid entgegen den Vorbringen der Versicherten nicht gegen Bundesrecht verstösst -, zeigt sich erst nach Vornahme der erneuten Beweiswürdigung. Sollte die Vorinstanz wiederum zum Ergebnis gelangen, die Beschwerdeführerin sei in sämtlichen Teilbereichen ihrer Tätigkeit als Liegenschaftsverwalterin in gleichem Umfang eingeschränkt, kann auf einen Betätigungsvergleich nach wie vor verzichtet werden.</w:t>
      </w:r>
    </w:p>
    <w:p>
      <w:r>
        <w:rPr>
          <w:b/>
        </w:rPr>
        <w:t>E. 6</w:t>
      </w:r>
    </w:p>
    <w:p>
      <w:r>
        <w:t>Entsprechend dem Ausgang des Verfahrens werden keine Kosten erhoben ( Art. 66 Abs. 1 und 4 BGG ) und wird die Beschwerdeführerin für das bundesgerichtliche Verfahren entschädigt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