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9C_413/2009 vom 27. Januar 2010</w:t>
      </w:r>
    </w:p>
    <w:p>
      <w:r>
        <w:t>Bundesgericht, 2010-01-27, FR</w:t>
      </w:r>
    </w:p>
    <w:p>
      <w:r>
        <w:rPr>
          <w:b/>
        </w:rPr>
        <w:t xml:space="preserve">Quelle: </w:t>
      </w:r>
      <w:r>
        <w:t>https://mcp.opencaselaw.ch/entscheid/bger_9C_413_2009</w:t>
      </w:r>
    </w:p>
    <w:p>
      <w:r>
        <w:t>FR: TF 9C_413/2009 du 27 janvier 2010</w:t>
      </w:r>
    </w:p>
    <w:p>
      <w:r>
        <w:t>IT: TF 9C_413/2009 del 27 gennaio 2010</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Le litige porte sur le point de savoir si c'est à juste titre que le tribunal arbitral a retenu que l'intimé ne devait pas restituer à la recourante les montants additionnels versés en application de la 2ème Convention, dès lors que celle-ci devait être considérée comme valable malgré son refus d'approbation par le Conseil fédéral.</w:t>
      </w:r>
    </w:p>
    <w:p>
      <w:r>
        <w:rPr>
          <w:b/>
        </w:rPr>
        <w:t>E. 3</w:t>
      </w:r>
    </w:p>
    <w:p>
      <w:r>
        <w:t>Le tribunal arbitral est parvenu à la conclusion que la 2ème Convention constituait une adaptation des tarifs des radiologues au terme de la phase de neutralité des coûts qui ne devait pas, conformément à l'al. 2 du préambule de l'annexe 2 de la convention-cadre TARMED (Convention relative à la neutralité des coûts), être approuvée par le Conseil fédéral. Il a également retenu que l'adaptation des tarifs prévue par le 2ème Convention devait être considérée comme faisant partie du TARMED. Dans sa décision du 21 novembre 2007, le Conseil fédéral avait admis que la 3ème Convention faisait partie intégrante du TARMED. Or, il y avait lieu de considérer que cette décision constituait une révision de sa décision précédente du 21 décembre 2006 (par laquelle il avait refusé d'approuver la 2ème Convention) dès lors qu'il n'était guère concevable que les conventions sur les mesures d'urgence puissent être qualifiées une fois comme partie intégrante et une autre fois comme convention indépendante. Dans la mesure où la 2ème Convention était valable sans approbation du Conseil fédéral, le docteur C.________ avait facturé puis obtenu le remboursement de ses prestations conformément aux tarifs reconnus par la loi, de sorte que la demande en restitution de la part d'Helsana était infondée.</w:t>
      </w:r>
    </w:p>
    <w:p>
      <w:r>
        <w:rPr>
          <w:b/>
        </w:rPr>
        <w:t>E. 4</w:t>
      </w:r>
    </w:p>
    <w:p>
      <w:r>
        <w:t>Pour la recourante, les mesures d'urgence prévues par la 2ème Convention, dans le sens où elles instituent un régime de dédommagements supplémentaires s'ajoutant au chapitre 30 «Imagerie médicale» prévu par le TARMED, ne constituent pas une adaptation de la structure tarifaire au sens de la Convention relative à la neutralité des coûts mais un complément à la structure tarifaire existante qui revient à la création d'un nouveau tarif, lequel nécessite toujours l'approbation du Conseil fédéral.</w:t>
      </w:r>
    </w:p>
    <w:p>
      <w:r>
        <w:rPr>
          <w:b/>
        </w:rPr>
        <w:t>E. 5</w:t>
      </w:r>
    </w:p>
    <w:p>
      <w:r>
        <w:t>Aux termes de l'art. 43 al. 4, première phrase, LAMal, les tarifs (en tant qu'instrument permettant de calculer la rémunération des prestations fournies) sont fixés par convention entre les assureurs et les fournisseurs de prestations (convention tarifaire) ou, dans les cas prévus par loi, par l'autorité compétente. Les parties à une convention tarifaire sont un ou plusieurs fournisseurs de prestations, ou fédérations de fournisseurs de prestations, d'une part, et un ou plusieurs assureurs ou fédérations d'assureurs, d'autre part ( art. 46 al. 1 LAMal ). La convention tarifaire doit être approuvée par le gouvernement cantonal compétent ou, si sa validité s'étend à toute la Suisse, par le Conseil fédéral (art. 46 al. 4, première phrase, LAMal). L'approbation a un effet constitutif. Par conséquent, les conventions tarifaires non encore approuvées ne sauraient s'appliquer (Gebhard Eugster, Krankenversicherung, in Soziale Sicherheit, SBVR vol. XIV, 2007, p. 713 n° 931).</w:t>
      </w:r>
    </w:p>
    <w:p>
      <w:r>
        <w:rPr>
          <w:b/>
        </w:rPr>
        <w:t>E. 6.1</w:t>
      </w:r>
    </w:p>
    <w:p>
      <w:r>
        <w:t>Il ressort du ch. 3.1 de la 2ème Convention intitulé «Dédommagements supplémentaires», que les radiologues peuvent facturer, en plus des prestations de base correspondantes des rubriques du chapitre 30 du TARMED «Imagerie médicale», différents forfaits de neutralité des coûts se présentant comme des suppléments ou rabais en francs, identiques dans toute la Suisse. Le ch. 3.1 précise encore que ces forfaits supplémentaires ne font pas partie intégrante de la structure tarifaire TARMED. En d'autres termes, il s'agit d'une indemnisation supplémentaire de certaines prestations radiologiques qui complète la structure tarifaire TARMED. Se pose par conséquent la question de savoir si les mesures précitées constituent une correction de la structure tarifaire n'ayant pas besoin, aux termes de l'al. 2 du préambule de la Convention relative à la neutralité des coûts, d'être soumise au Conseil fédéral pour approbation.</w:t>
      </w:r>
    </w:p>
    <w:p>
      <w:r>
        <w:rPr>
          <w:b/>
        </w:rPr>
        <w:t>E. 6.2</w:t>
      </w:r>
    </w:p>
    <w:p>
      <w:r>
        <w:t>Par structure tarifaire, le Conseil fédéral entend la désignation des prestations et l'attribution d'un certain nombre de points à chacune d'elles afin d'établir sa valeur abstraite et sa valeur relative par rapport aux autres prestations (cf. Hanspeter Kuhn, Conventions tarifaires, approbation des tarifs, «neutralité des coûts», in Bulletin des médecins suisses, 2001, p. 901). Si l'on multiplie ensuite la valeur du point (exprimée en francs et centimes) par le nombre de points attribués à une prestation, on obtient la valeur concrète de celle-ci, soit son prix (Message du 6 novembre 1991 concernant la révision de l'assurance-maladie, FF 1992 I 155). Dans la cadre de la 2ème Convention, les mesures d'urgence ne consistaient pas à modifier le nombre de points attribués à certaines prestations de radiologie ni à augmenter ou diminuer la valeur du point mais plutôt à compléter la structure tarifaire existante en fixant de manière ponctuelle et provisoire le prix de certaines prestations. Une telle mesure ne constitue pas une modification ou une correction à proprement parler de la structure tarifaire mais plutôt une adaptation du tarif à la prestation pour certaines d'entre elles (telles que mammographie, ultrasons, IRM, angiographie etc.). Or, contrairement à ce qu'ont retenu les premiers juges, le préambule de la Convention relative à la neutralité des coûts ne prévoit pas d'exception à l'approbation constitutive du Conseil fédéral en cas d'adaptation des tarifs mais seulement en cas de corrections de la structure tarifaire. De plus, seules les corrections de la structure tarifaire dont la durée de validité est inférieure à une année (cf. la version allemande de la Convention relative à la neutralité des coûts faisant foi, qui utilise les termes suivants: «unterjährige Korrekturen der Tarifstruktur», traduits de manière erronée par «corrections de la structure tarifaire en cours d'année») sont concernées par cette exception. En l'espèce, dans la mesure où la durée de validité de la 2ème Convention s'étendait du 1er juillet 2005 au 31 décembre 2006, soit sur une période de dix-huit mois, les mesures d'urgence qu'elle prévoyait ne pouvaient pas, pour cette raison déjà, être soustraites à l'approbation du Conseil fédéral conformément à la Convention relative à la neutralité des coûts. En arrivant à la conclusion que la 2ème Convention était valable sans approbation du Conseil fédéral et que l'intimé avait facturé ses prestations conformément aux tarifs reconnus par la loi, les premiers juges ont dès lors violé le droit fédéral.</w:t>
      </w:r>
    </w:p>
    <w:p>
      <w:r>
        <w:rPr>
          <w:b/>
        </w:rPr>
        <w:t>E. 7</w:t>
      </w:r>
    </w:p>
    <w:p>
      <w:r>
        <w:t>Reste à examiner si, comme le prétend l'intimé, l'application du principe de la bonne foi faisait obstacle au remboursement des montants payés par la recourante sur la base de la 2ème Convention.</w:t>
      </w:r>
    </w:p>
    <w:p>
      <w:r>
        <w:rPr>
          <w:b/>
        </w:rPr>
        <w:t>E. 7.1</w:t>
      </w:r>
    </w:p>
    <w:p>
      <w:r>
        <w:t>Conformément à la jurisprudence, les règles de la bonne foi, que l'Etat doit respecter en vertu de l' art. 9 Cst. , protègent le citoyen dans la confiance légitime qu'il met dans les assurances reçues des autorités, lorsqu'il a réglé sa conduite d'après des décisions, des déclarations ou un comportement déterminé de l'administration ( ATF 131 II 627 consid. 6.1 p. 636 et les arrêts cités). Ainsi, un renseignement ou une décision erronés peuvent obliger l'administration à consentir à un administré un avantage contraire à la loi, si les conditions cumulatives suivantes sont réunies:</w:t>
      </w:r>
    </w:p>
    <w:p>
      <w:r>
        <w:t>1. il faut que l'autorité soit intervenue dans une situation concrète à l'égard de personnes déterminées;</w:t>
      </w:r>
    </w:p>
    <w:p>
      <w:r>
        <w:t>2. qu'elle ait agi ou soit censée avoir agi dans les limites de sa compétence;</w:t>
      </w:r>
    </w:p>
    <w:p>
      <w:r>
        <w:t>3. que l'administré n'ait pas pu se rendre compte immédiatement de l'inexactitude du renseignement obtenu;</w:t>
      </w:r>
    </w:p>
    <w:p>
      <w:r>
        <w:t>4. qu'il se soit fondé sur celui-ci pour prendre des dispositions qu'il ne saurait modifier sans subir un préjudice;</w:t>
      </w:r>
    </w:p>
    <w:p>
      <w:r>
        <w:t>5. que la loi n'ait pas changé depuis le moment où le renseignement a été donné ( ATF 131 II 627 consid. 6.1 p. 636).</w:t>
      </w:r>
    </w:p>
    <w:p>
      <w:r>
        <w:rPr>
          <w:b/>
        </w:rPr>
        <w:t>E. 7.2</w:t>
      </w:r>
    </w:p>
    <w:p>
      <w:r>
        <w:t>Selon le Tribunal fédéral des assurances, les conventions tarifaires ne constituaient pas un acte de souveraineté («hoheitlicher Akt») mais impliquaient seulement une manifestation réciproque et concordante des volontés subordonnée à l'approbation de l'autorité (Gebhard Eugster, op. cit., p. 683 n° 849). Or, lorsque les rapports juridiques entre deux parties sont fondés sur un contrat, le principe de la protection de la confiance en cas de décision ou de renseignement erroné de la part d'une autorité ne s'applique pas, car l'on est en présence de deux sujets de droit égaux, dont les droits et les obligations résultent en premier lieu du contrat ( ATF 120 V 445 consid. 4 i.f. p. 449 s.). Le droit à la protection de la bonne foi étant exclu en l'espèce, il n'y a pas lieu quoi qu'en dise l'intimé de renvoyer la cause au Tribunal arbitral pour constatation des faits en ce qui concerne l'application du principe de la bonne foi aux fins de garantir le respect du droit d'être entendu de l'intimé. On ajoutera que dans sa prise de position au recours, l'OFSP rappelle que les partenaires tarifaires ont été maintes fois mis en garde, au cours des discussions ayant abouti à la révision du chapitre 30 «Imagerie médicale» du TARMED, sur le fait qu'une application des tarifs conclus dans une convention non encore approuvée par le Conseil fédéral ne pouvait se faire qu'à leurs risques et qu'une demande de rétrocession ne pouvait dès lors pas être exclue. Les conditions d'application du principe de la bonne foi n'étant pas remplies en l'espèce, la demande en restitution de la recourante est fondée.</w:t>
      </w:r>
    </w:p>
    <w:p>
      <w:r>
        <w:rPr>
          <w:b/>
        </w:rPr>
        <w:t>E. 8</w:t>
      </w:r>
    </w:p>
    <w:p>
      <w:r>
        <w:t>En ce qui concerne le montant de la créance, celui-ci n'est pas contesté, de sorte qu'il n'est pas nécessaire de renvoyer la cause au tribunal arbitral afin d'examiner ce point.</w:t>
      </w:r>
    </w:p>
    <w:p>
      <w:r>
        <w:rPr>
          <w:b/>
        </w:rPr>
        <w:t>E. 9</w:t>
      </w:r>
    </w:p>
    <w:p>
      <w:r>
        <w:t>Vu l'issue de la procédure, les frais de justice sont mis à la charge de l'intimé qui succombe ( art. 66 al. 1 LTF ). Les caisses-maladie ou leurs fédérations n'ont en principe pas droit à des dépens lorsqu'elles obtiennent gain de cause. Exceptionnellement des dépens peuvent être alloués lorsqu'en raison de la particularité ou de la difficulté du cas, le recours à un avocat indépendant était nécessaire ( ATF 119 V 456 consid. 6b; RAMA 1995 n° K 955 p. 6 consid. 6). Tel n'est pas le cas en l'espèce puisque la recourante n'a pas fait appel à un avocat indépendant mais s'est fait représenter par ses propres juristes. Aussi, la conclusion de la recourante tendant à l'octroi de dépens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