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410/2011 vom 16. Februar 2012</w:t>
      </w:r>
    </w:p>
    <w:p>
      <w:r>
        <w:t>Bundesgericht, 2012-02-16, FR</w:t>
      </w:r>
    </w:p>
    <w:p>
      <w:r>
        <w:rPr>
          <w:b/>
        </w:rPr>
        <w:t xml:space="preserve">Quelle: </w:t>
      </w:r>
      <w:r>
        <w:t>https://mcp.opencaselaw.ch/entscheid/bger_9C_410_2011</w:t>
      </w:r>
    </w:p>
    <w:p>
      <w:r>
        <w:t>FR: TF 9C 410/2011 du 16 février 2012</w:t>
      </w:r>
    </w:p>
    <w:p>
      <w:r>
        <w:t>IT: TF 9C 410/2011 del 16 febbraio 2012</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qui applique le droit d'office ( art. 106 al. 1 LTF ),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(cf. art. 97 al. 2 LTF ).</w:t>
      </w:r>
    </w:p>
    <w:p>
      <w:r>
        <w:rPr>
          <w:b/>
        </w:rPr>
        <w:t>E. 2.1</w:t>
      </w:r>
    </w:p>
    <w:p>
      <w:r>
        <w:t>En tant que les conclusions subsidiaires du recourant portent sur l'octroi d'indemnités journalières de l'assurance-invalidité à partir du 1er mars 2003, elles sont irrecevables. Elles sortent en effet de l'objet du litige défini par la décision litigieuse (du 8 novembre 2007), qui concernait uniquement le droit à une rente d'invalidité (sur la notion d'objet de la contestation, voir ATF 125 V 413 ). Conformément au renvoi du dossier ordonné par la juridiction cantonale (ch. III du dispositif du jugement entrepris), le droit du recourant à des mesures d'ordre professionnel devra cependant être examiné par l'intimé dans une procédure séparée.</w:t>
      </w:r>
    </w:p>
    <w:p>
      <w:r>
        <w:rPr>
          <w:b/>
        </w:rPr>
        <w:t>E. 2.2</w:t>
      </w:r>
    </w:p>
    <w:p>
      <w:r>
        <w:t>Compte tenu des conclusions du recours ( art. 107 al. 1 LTF ), le litige se limite au droit du recourant à une demi-rente d'invalidité (correspondant à un taux d'invalidité de 52%) à partir du 1er mars 2003. Il n'y a pas lieu de se prononcer sur le droit à une rente entière du 1er septembre 2001 au 28 février 2003, dont il demande également l'octroi, puisque cette prestation lui a été reconnue par la décision sur opposition du 8 novembre 2007.</w:t>
      </w:r>
    </w:p>
    <w:p>
      <w:r>
        <w:rPr>
          <w:b/>
        </w:rPr>
        <w:t>E. 3</w:t>
      </w:r>
    </w:p>
    <w:p>
      <w:r>
        <w:t>Au regard de l'objet du litige, le recourant critique uniquement les deux termes de la comparaison des revenus effectuée par la juridiction cantonale pour évaluer l'invalidité, qu'elle a fixée à 33%.</w:t>
      </w:r>
    </w:p>
    <w:p>
      <w:r>
        <w:rPr>
          <w:b/>
        </w:rPr>
        <w:t>E. 3.1</w:t>
      </w:r>
    </w:p>
    <w:p>
      <w:r>
        <w:t>Prétendant tout d'abord qu'il percevait en 1989 déjà un revenu équivalent à celui d'un maçon titulaire d'un CFC, le recourant soutient que l'intimé aurait dû s'adresser à son ancien employeur ou à la Fédération vaudoise des entrepreneurs afin de déterminer quel était le revenu d'un maçon sans CFC avec plus de 20 ans d'expérience en 2002. Avec son argumentation, le recourant ne démontre pas que le salaire de 60'970 fr. par année (en 2002) déterminé à titre de revenu sans invalidité par les premiers juges au moyen de la Convention collective du bâtiment et du génie civil (ouvriers qualifiés et spécialistes sans CFC, machinistes et chauffeurs) serait manifestement inexact au sens de l' art. 97 al. 1 LTF . Sans indiquer à quel montant devrait correspondre selon lui le revenu sans invalidité, le recourant se limite en effet à contester le salaire fixé par la juridiction cantonale et n'explique pas en quoi ce montant serait différent si l'administration avait requis des données auprès de son ancien employeur ou de la Fédération vaudoise des entrepreneurs. Il ressort par ailleurs du dossier qu'au cours de la première procédure administrative, le recourant avait indiqué à l'intimé qu'il réalisait un revenu (comme maçon) de 36'249 fr. en 1989 (rapport de la division de réadaptation professionnelle de l'office AI du 27 février 1995). Adapté à l'évolution des salaires nominaux de 1989 à 2002 (cf. Office fédéral de la statistique, Evolution des salaires nominaux, des prix à la consommation et des salaires réels, 1976-2010), il en résulterait un revenu de 49'103 fr. en 2002, soit un montant moins favorable, sous l'angle du droit aux prestations d'assurance, que celui retenu dans le jugement entrepris. L'argumentation du recourant n'est dès lors pas pertinente.</w:t>
      </w:r>
    </w:p>
    <w:p>
      <w:r>
        <w:rPr>
          <w:b/>
        </w:rPr>
        <w:t>E. 3.2</w:t>
      </w:r>
    </w:p>
    <w:p>
      <w:r>
        <w:t>En ce qui concerne le revenu avec invalidité, le recourant fait valoir qu'il devrait être fixé à 3773 fr., soit le montant correspondant au revenu obtenu par un homme exerçant une activité simple et répétitive dans le secteur des services personnels (Enquête suisse sur la structure des salaires 2002, TA1, niveau de qualification 4, ch. 93). Il ne pourrait en effet exercer aucune activité dans le domaine industriel. En affirmant simplement que la liste des nombreux produits à éviter énumérés dans l'expertise du docteur R.________ implique qu'aucune activité industrielle ne peut être exigée de sa part, le recourant substitue sa propre appréciation à celle des premiers juges. Ceux-ci ont constaté, en se fondant sur le rapport de la division administrative de l'intimé, qu'il existait des activités industrielles non qualifiées qui ne comportaient pas de risques allergiques (comme des travaux d'alimentation de machines industrielles, de contrôles de qualité visuels, de montages industriels ou de surveillance de chaînes de production), de sorte qu'ils pouvaient se référer au salaire correspondant aux secteurs de la production, des services et de l'horticulture. On ne voit pas en quoi cette constatation serait manifestement inexacte, puisque les allergies du recourant portent sur des substances bien définies par le docteur R.________ qui l'empêchent de travailler dans les secteurs impliquant le contact notamment avec du ciment frais, des peaux tannées au chrome, des colorants et des agents de fixation, ainsi qu'avec des produits cosmétiques, d'entretien, de nettoyage et des adhésifs, colles, latex et pâtes à papier. Ces limitations ne touchent en revanche pas les activités mentionnées par la juridiction cantonale. Quoi qu'il en soit, même si l'on suivait l'argument du recourant selon lequel il ne serait pas en mesure de travailler dans le domaine industriel, il y aurait alors lieu de se fonder sur le salaire statistique correspondant à l'ensemble des activités du secteur des services (ch. 50-93) et non pas uniquement sur le revenu correspondant aux services personnels (ch. 93), afin de prendre en considération l'éventail de postes existant dans ce secteur. En fonction d'un revenu d'invalide qui serait ainsi fixé à 4206 fr. par mois, soit 37'884 fr. par an (après adaptation à l'horaire moyen en 2002 et compte tenu d'une capacité de travail de 80% et d'un abattement de 10%), le taux d'invalidité serait inférieur à 40% ([60'970 fr. - 37'884 fr.] x 100./. 60'970 = 38%) et n'ouvrirait pas le droit à une rente.</w:t>
      </w:r>
    </w:p>
    <w:p>
      <w:r>
        <w:rPr>
          <w:b/>
        </w:rPr>
        <w:t>E. 3.3</w:t>
      </w:r>
    </w:p>
    <w:p>
      <w:r>
        <w:t>En conséquence de ce qui précède, le recours est mal fondé, dans la mesure où il est recevable.</w:t>
      </w:r>
    </w:p>
    <w:p>
      <w:r>
        <w:rPr>
          <w:b/>
        </w:rPr>
        <w:t>E. 4</w:t>
      </w:r>
    </w:p>
    <w:p>
      <w:r>
        <w:t>Compte tenu de l'issue du litige, les frais judiciaires doivent être mis à la charge du recourant qui, succombant et non représenté par un avocat, ne saurait prétendre une indemnité à titre de dépens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