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9C_40/2009 vom 27. Januar 2010</w:t>
      </w:r>
    </w:p>
    <w:p>
      <w:r>
        <w:t>Bundesgericht, 2010-01-27, DE</w:t>
      </w:r>
    </w:p>
    <w:p>
      <w:r>
        <w:rPr>
          <w:b/>
        </w:rPr>
        <w:t xml:space="preserve">Quelle: </w:t>
      </w:r>
      <w:r>
        <w:t>https://mcp.opencaselaw.ch/entscheid/bger_9C_40_2009</w:t>
      </w:r>
    </w:p>
    <w:p>
      <w:r>
        <w:t>FR: TF 9C_40/2009 du 27 janvier 2010</w:t>
      </w:r>
    </w:p>
    <w:p>
      <w:r>
        <w:t>IT: TF 9C_40/2009 del 27 gennaio 2010</w:t>
      </w:r>
    </w:p>
    <w:p>
      <w:pPr>
        <w:pStyle w:val="Heading2"/>
      </w:pPr>
      <w:r>
        <w:t>Erwägungen</w:t>
      </w:r>
    </w:p>
    <w:p>
      <w:r>
        <w:rPr>
          <w:b/>
        </w:rPr>
        <w:t>E. 1</w:t>
      </w:r>
    </w:p>
    <w:p>
      <w:r>
        <w:t>Legitimiert zur Beschwerde in öffentlich-rechtlichen Angelegenheiten ist nach Art. 89 Abs. 1 BGG , wer vor der Vorinstanz am Verfahren teilgenommen oder keine Möglichkeit zur Teilnahme erhalten hat, durch den angefochtenen Entscheid oder Erlass besonders berührt ist und ein schutzwürdiges Interesse an dessen Aufhebung oder Änderung hat. Die Beschwerdeführerin erfüllt diese Voraussetzungen, nachdem ihr im vorinstanzlichen Verfahren Parteistellung zuerkannt und ihr der angefochtene Entscheid als Adressatin direkt eröffnet wurde; da auch die weiteren Prozessvoraussetzungen erfüllt sind, ist auf die Beschwerde einzutreten.</w:t>
      </w:r>
    </w:p>
    <w:p>
      <w:r>
        <w:rPr>
          <w:b/>
        </w:rPr>
        <w:t>E. 2</w:t>
      </w:r>
    </w:p>
    <w:p>
      <w:r>
        <w:t>Die Beschwerde in öffentlich-rechtlichen Angelegenheiten kann wegen Rechtsverletzungen gemäss Art. 95 und 96 BGG erhoben werden. Im Rahmen der Rechtsanwendung von Amtes wegen ( Art. 106 Abs. 1 BGG ) ist das Bundesgericht weder an die in der Beschwerde geltend gemachten Argumente noch an die Erwägungen der Vorinstanz gebunden; es kann eine Beschwerde aus anderen als dem angerufenen Grund gutheissen, und es kann sie mit einer von der Argumentation der Vorinstanz abweichenden Begründung abweisen ( BGE 130 III 136 E. 1.4 S. 140).</w:t>
      </w:r>
    </w:p>
    <w:p>
      <w:r>
        <w:rPr>
          <w:b/>
        </w:rPr>
        <w:t>E. 3.1</w:t>
      </w:r>
    </w:p>
    <w:p>
      <w:r>
        <w:t>Im kantonalen Verfahren - wie auch im Verfahren vor Bundesgericht - haben die bis Ende 2007 bei der Beschwerdegegnerin vorsorgeversichert gewesenen Z.________ und H.________ nicht in eigenem Namen, sondern als (einzige) Verwaltungsräte der A.________ AG ausdrücklich in deren Namen Klage erhoben. Zur Aktivlegitimation der A.________ AG hat sich das kantonale Gericht nicht ausdrücklich geäussert.</w:t>
      </w:r>
    </w:p>
    <w:p>
      <w:r>
        <w:rPr>
          <w:b/>
        </w:rPr>
        <w:t>E. 3.2.1</w:t>
      </w:r>
    </w:p>
    <w:p>
      <w:r>
        <w:t>Die von Amtes wegen (vgl. BGE 118 Ia 129 E. 1 S. 130) zu prüfende Frage, ob eine Partei als Klägerin aufzutreten berechtigt (Aktivlegitimation) und welche Partei einzuklagen ist (Passivlegitimation), bestimmt sich - auch im öffentlich-rechtlichen Klageverfahren - nach dem materiellen Recht. Grundsätzlich ist der Träger des fraglichen Rechts aktivlegitimiert, passivlegitimiert der materiell Verpflichtete, gegen den sich das Recht richtet (vgl. SVR 2006 BVG Nr. 11 S. 39 E. 3.2 mit Hinweisen, B 61/02).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(vgl. BGE 107 II 82 E. 2a S. 85 mit Hinweisen; zum Ganzen: SVR 2006 BVG Nr. 34 S. 131 E. 7, B 10/05).</w:t>
      </w:r>
    </w:p>
    <w:p>
      <w:r>
        <w:rPr>
          <w:b/>
        </w:rPr>
        <w:t>E. 3.2.2</w:t>
      </w:r>
    </w:p>
    <w:p>
      <w:r>
        <w:t>Ob ein Arbeitgeber - hier: die A.________ AG - im Rahmen einer nach Art. 73 BVG vom Berufsvorsorgegericht zu beurteilenden Streitigkeit zwischen Vorsorgeeinrichtungen, Arbeitgebern und Anspruchsberechtigten konkret als Kläger aufzutreten berechtigt ist (Aktivlegitimation), bestimmt sich nach dem Gesagten nach dem materiellen Recht. Grundsätzlich ist der Träger des fraglichen Rechts aktivlegitimiert (E. 3.2.1 hievor). Im Zusammenhang mit Anschlussverträgen zwischen Vorsorgeeinrichtung und Arbeitgeber im Besonderen ist Letzterer im Klageverfahren nach Art. 73 BVG aktivlegitimiert, sofern die Streitigkeit eine Frage betrifft, die Regelungsgegenstand des Anschlussvertrages zwischen ihm und der Vorsorgeeinrichtung bildet (vgl. SVR 2005 BVG Nr. 27 S. 97, B 43/04 E. 1; BGE 135 V 133 E. 1). Liegt die Streitigkeit nicht im Anschlussvertrag selbst begründet, sondern in einem davon zu unterscheidenden anderen Vertragsverhältnis, wie beispielsweise einem Gesamtarbeitsvertrag, ist nicht das Berufsvorsorgegericht, sondern das Zivilgericht zuständig (vgl. Urteil des Eidg. Versicherungsgerichts B 37/03 vom 10. März 2004 E. 2.3 mit Hinweisen [SZS 2005 S. 176]).</w:t>
      </w:r>
    </w:p>
    <w:p>
      <w:r>
        <w:rPr>
          <w:b/>
        </w:rPr>
        <w:t>E. 3.3</w:t>
      </w:r>
    </w:p>
    <w:p>
      <w:r>
        <w:t>Der vorinstanzlich beurteilte Rechtsstreit betrifft allein die Verzinsung der individuellen Altersguthaben der bis 31. Dezember 2007 bei der Beschwerdegegnerin versichert gewesenen Mitglieder Z.________ und H.________ für das Jahr 2007 und mittelbar die Höhe der ihnen je persönlich geschuldeten Austrittsleistung. Die strittige "Überschussverzinsung" beschlägt das gesetzlich und reglementarisch geregelte Rechtsverhältnis zwischen der Vorsorgeeinrichtung und den beiden ehemals Versicherten, nicht aber dasjenige zwischen der Beschwerdegegnerin und der A.________ AG als Arbeitgeberin; dies geht ohne weiteres auch aus den Austrittsabrechnungen der Pensionskasse vom 27. November 2007 hervor, denen die für das Jahr 2007 gewährte Verzinsung des Altersguthabens zu entnehmen ist und die ausdrücklich die Versicherten Z.________ und H.________ als Leistungsberechtigte bezeichnen. Ungeachtet des Umstands, dass der Rechtsstreit durch die Kündigung des Anschlussvertrages seitens der A.________ AG auf 31. Dezember 2007 ausgelöst wurde, liegt namentlich keine Streitigkeit zwischen Arbeitgeber und Vorsorgeeinrichtung über eine Frage vor, die selbst Regelungsgegenstand des Anschlussvertrages bildet (E. 3.2.2 hievor). Beschwerdeführerin und Gegenpartei haben sich zur Begründung ihres Standpunkts denn auch an keiner Stelle auf eine Bestimmung des Anschlussvertrags berufen. Die Aktivlegitimation der A.________ AG (Arbeitgeberin) im vorinstanzlichen Klageverfahren ist daher zu verneinen. Bereits aus diesem Grund war die Klage vom kantonalen Gericht abzuweisen, und es bestand - und besteht auch letztinstanzlich - kein Raum für die Beurteilung der materiellrechtlichen Begründetheit des geltend gemachten Anspruchs auf Überschussverzinsung. Den Versicherten der A.________ AG bleibt es mangels Verjährung des umstrittenen Anspruchs (Art. 31 des Reglements der Pensionskasse X.________ [in der ab 1. Januar 2007 geltenden Fassung] in Verbindung mit Art. 41 BVG ) unbenommen, vor der Vorinstanz ein Klagebegehren in eigenem Namen einzureichen.</w:t>
      </w:r>
    </w:p>
    <w:p>
      <w:r>
        <w:rPr>
          <w:b/>
        </w:rPr>
        <w:t>E. 4</w:t>
      </w:r>
    </w:p>
    <w:p>
      <w:r>
        <w:t>Die Gerichtskosten ( Art. 65 BGG ) gehen ausgangsgemäss zulasten der Beschwerdeführerin ( Art. 66 Abs. 1 Satz 1 BGG ). Die obsiegende Vorsorgeeinrichtung hat als mit öffentlich-rechtlichen Aufgaben betraute Organisation keinen Anspruch auf Parteientschädigung ( Art. 66 Abs. 3 BGG ; BGE 128 V 124 E. 5b S. 133;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