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408/2018 vom 10. September 2018</w:t>
      </w:r>
    </w:p>
    <w:p>
      <w:r>
        <w:t>Bundesgericht, 2018-09-10, DE</w:t>
      </w:r>
    </w:p>
    <w:p>
      <w:r>
        <w:rPr>
          <w:b/>
        </w:rPr>
        <w:t xml:space="preserve">Quelle: </w:t>
      </w:r>
      <w:r>
        <w:t>https://mcp.opencaselaw.ch/entscheid/bger_9C_408_2018</w:t>
      </w:r>
    </w:p>
    <w:p>
      <w:r>
        <w:t>FR: TF 9C 408/2018 du 10 septembre 2018</w:t>
      </w:r>
    </w:p>
    <w:p>
      <w:r>
        <w:t>IT: TF 9C 408/2018 del 10 settembre 2018</w:t>
      </w:r>
    </w:p>
    <w:p>
      <w:pPr>
        <w:pStyle w:val="Heading2"/>
      </w:pPr>
      <w:r>
        <w:t>Regeste</w:t>
      </w:r>
    </w:p>
    <w:p>
      <w:r>
        <w:t>Krankenversicherung (Rückerstattung) | Krankenversicherung</w:t>
      </w:r>
    </w:p>
    <w:p>
      <w:pPr>
        <w:pStyle w:val="Heading2"/>
      </w:pPr>
      <w:r>
        <w:t>Erwägungen</w:t>
      </w:r>
    </w:p>
    <w:p>
      <w:r>
        <w:rPr>
          <w:b/>
        </w:rPr>
        <w:t>E. 1</w:t>
      </w:r>
    </w:p>
    <w:p>
      <w:r>
        <w:t>Streitig ist die Leistungspflicht von Atupri im Rahmen der obligatorischen Krankenpflegeversicherung für den Rücktransport vom 14. Juli 2016.</w:t>
      </w:r>
    </w:p>
    <w:p>
      <w:r>
        <w:rPr>
          <w:b/>
        </w:rPr>
        <w:t>E. 2</w:t>
      </w:r>
    </w:p>
    <w:p>
      <w:r>
        <w:t>Il trasporto dev'essere effettuato tramite un mezzo corrispondente alle esigenze mediche del caso.</w:t>
      </w:r>
    </w:p>
    <w:p>
      <w:r>
        <w:rPr>
          <w:b/>
        </w:rPr>
        <w:t>E. 3.1</w:t>
      </w:r>
    </w:p>
    <w:p>
      <w:r>
        <w:t>Welche Transporte von der Kostenübernahmepflicht erfasst sind, ergibt sich durch Auslegung von Art. 25 Abs. 2 lit. g KVG i.V.m. Art. 26 Abs. 1 KLV . Ausgangspunkt bildet dabei der Wortlaut dieser Normen. Vom daraus abgeleiteten Sinn ist nur abzuweichen, wenn triftige Gründe dafür bestehen, dass der Gesetzgeber diesen nicht gewollt haben kann. Solche Gründe können sich insbesondere aus der Entstehungsgeschichte der Norm, aus ihrem Zweck oder aus dem Zusammenhang mit anderen Vorschriften ergeben (vgl. zur Auslegung eingehend BGE 143 III 385 E. 4.1 S. 391; 141 II 262 E. 4 S. 272 f.; je mit zahlreichen Hinweisen).</w:t>
      </w:r>
    </w:p>
    <w:p>
      <w:r>
        <w:rPr>
          <w:b/>
        </w:rPr>
        <w:t>E. 3.2</w:t>
      </w:r>
    </w:p>
    <w:p>
      <w:r>
        <w:t>Aus dem Wortlaut von Art. 26 KLV ergibt sich - in sämtlichen Sprachfassungen (vgl. oben E. 2)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Damit wird - jedenfalls nicht offensichtlich ausserhalb des durch die Art. 33 Abs. 2 und 5 KVG bzw. Art. 33 lit. g KVV (vgl. oben E. 2) gesteckten Delegationsrahmens oder aus anderen Gründen gesetz- oder verfassungswidrig (vgl. zur darauf beschränkten Überprüfung des Bundesgerichts etwa BGE 143 V 208 E. 4.3 S. 212) - präzisiert, was unter den medizinisch notwendigen Transportkosten gemäss Art. 25 Abs. 2 lit. g KVG zu verstehen ist. Die Verordnungsbestimmung steht im Einklang mit Art. 32 Abs. 1 KVG , wonach die Leistungen nach den Art. 25-31 KVG wirksam, zweckmässig und wirtschaftlich sein müssen. Hinweise darauf, dass der Gesetzgeber diesen Sinn nicht gewollt haben kann, ergeben sich aus den übrigen Auslegungselementen (soeben E. 3.1) nicht.</w:t>
      </w:r>
    </w:p>
    <w:p>
      <w:r>
        <w:rPr>
          <w:b/>
        </w:rPr>
        <w:t>E. 4</w:t>
      </w:r>
    </w:p>
    <w:p>
      <w:r>
        <w:t>Nach dem Gesagten hatte das kantonale Gericht in concreto zu prüfen, ob der gewählte Spezialtransport aufgrund des Gesundheitszustands des Versicherten am 14. Juli 2016 erforderlich war, ihm mithin nicht zumutbar war, den Rückweg vom Spital ins Alters- und Pflegezentrum mit anderen öffentlichen oder privaten Transportmitteln zurückzulegen (vgl. bereits Urteil 9C_624/2017 E. 4.1).</w:t>
      </w:r>
    </w:p>
    <w:p>
      <w:r>
        <w:rPr>
          <w:b/>
        </w:rPr>
        <w:t>E. 4.1</w:t>
      </w:r>
    </w:p>
    <w:p>
      <w:r>
        <w:t>Die Vorinstanz stellte im Rahmen der Neubeurteilung (vgl. Sachverhalt lit. B.c) fest, dem Versicherten sei auf dem ADL-Index betreffend die körperliche Funktionsfähigkeit in Aktivitäten des täglichen Lebens nach der Rückkehr ins Alters- und Pflegezentrum neu die Stufe 16 (bisher: Stufe 7; Stufe 4 = unabhängig; Stufe 18 = maximale Abhängigkeit) attestiert worden. Er könne lediglich kurz aufstehen bzw. kurze Zeit stehen, wobei er auf Unterstützung angewiesen sei. Sie schloss, aufgrund der erheblichen Einschränkung der körperlichen Funktionsfähigkeit sei überwiegend wahrscheinlich, dass der Patient für den Transport vom Spital ins Alters- und Pflegezentrum gesundheitsbedingt auf einen Rollstuhl angewiesen und die selbständige Rückreise mit einem Taxi oder öffentlichen Verkehrsmitteln nicht möglich gewesen sei. Nähere Feststellungen zur medizinischen Notwendigkeit des streitigen Krankentransportes fehlen. Da die Aktenlage jedoch nunmehr insoweit liquid ist, kann das Bundesgericht den Sachverhalt ergänzen ( Art. 105 Abs. 2 BGG ; BGE 140 V 22 E. 5.4.5 S. 31 f.) : Der Versicherte wurde am 5. Juli 2016 (Sachverhalt lit. A) offenbar ohne Rollstuhl - den er jedoch zu diesem Zeitpunkt bereits im Alters- und Pflegezentrum mietete - ins Spital gebracht. Von dort wurde er am 14. Juli 2016 durch die D.________ GmbH zurück ins Alters- und Pflegezentrum geführt (Sachverhalt lit. A), wobei ein durch das Transportunternehmen zur Verfügung gestellter Comfort-Rollstuhl zum Einsatz gelangte. Während des Spitalaufenthalts ist aktenkundig, dass er sich - wenngleich langsam und zuweilen unter Inanspruchnahme von Hilfe des Pflegepersonals - regelmässig selber vom Bett in den Lehnstuhl mobilisieren und dort längere Zeit sitzen konnte; auch war er in der Lage, längere Zeit am Tisch zu sitzen, dort Mahlzeiten einzunehmen, zu lesen oder sich mit Mitpatienten zu unterhalten. Hier nicht entscheidend ist sodann der in den Pflegeberichten ausgewiesene beträchtliche Bedarf an Unterstützung in Zusammenhang mit der Verpflegung, Ausscheidung und Körperpflege.</w:t>
      </w:r>
    </w:p>
    <w:p>
      <w:r>
        <w:rPr>
          <w:b/>
        </w:rPr>
        <w:t>E. 4.2</w:t>
      </w:r>
    </w:p>
    <w:p>
      <w:r>
        <w:t>Dass es nicht möglich gewesen wäre, den Patienten im Spital mit dem Rollstuhl zu einem (gewöhnlichen) Taxi oder privaten Personenwagen (etwa des Alters- und Pflegezentrums oder Angehöriger) zu bringen und ihm ins Fahrzeug zu helfen, ergibt sich aus den Akten nicht. Ebensowenig ist dargetan, dass ihn das Betreuungspersonal des Alters- und Pflegezentrums am Ziel nicht hätte mit dem Rollstuhl vom Taxi abholen können. Abgesehen vom Transport des Versicherten im Rollstuhl statt im gewöhnlichen Passagierraum - was nach dem Gesagten nicht mit überwiegender Wahrscheinlichkeit (vgl. etwa BGE 141 V 15 E. 3.1 S. 20 mit Hinweisen) notwendig war - lassen sich den Akten keine Anhaltspunkte für medizinische Anforderungen entnehmen, die einen Spezialtransport im konkreten Fall als zweckmässig und wirtschaftlich erscheinen liessen ( Art. 32 Abs. 1 KVG ; oben E. 3.2). Dessen Notwendigkeit wird denn auch ärztlich nicht attestiert ( BGE 124 V 338 E. 2c/bb S. 344). Der Versicherte war offenbar weder - für die Fahrt - auf eine Begleitung oder medizinische Apparaturen angewiesen, noch galt es einen spezifischen, persönlichen Rollstuhl zu transportieren, der in einem gewöhnlichen Personenwagen oder Taxi keinen Platz gefunden hätte. Schliesslich lässt sich die Notwendigkeit des gewählten Transportmittels - entgegen der Vorinstanz - weder ohne Weiteres aus der bescheinigten Pflegestufe gemäss ADL-Index, noch aus der Angewiesenheit auf den Rollstuhl zur eigenständigen Fortbewegung (gemäss Austrittsbericht des Spitals vom 21. Juli 2016 war der Patient "rollstuhlmobil") ableiten.</w:t>
      </w:r>
    </w:p>
    <w:p>
      <w:r>
        <w:rPr>
          <w:b/>
        </w:rPr>
        <w:t>E. 4.3</w:t>
      </w:r>
    </w:p>
    <w:p>
      <w:r>
        <w:t>Die Voraussetzungen der Leistungspflicht der Beschwerdeführerin aus obligatorischer Krankenpflegeversicherung waren somit mangels ausgewiesener medizinischer Notwendigkeit des Spezialtransports nicht erfüllt. Bei diesem Verfahrensausgang erübrigen sich Weiterungen dazu, ob die Vorinstanz Bundesrecht verletzt hat, indem sie Art. 56 KVV - der Transport- und Rettungsunternehmen die Tätigkeit zu Lasten der Krankenversicherer erlaubt, wenn sie nach kantonalem Recht zugelassen sind und mit der betroffenen Krankenversicherung einen Vertrag über die Durchführung von Transporten und Rettungen abgeschlossen haben - in casu nicht zur Anwendung brachte. Offen bleiben kann auch die von der Beschwerdeführerin aufgeworfene Frage nach der Leistungspflicht gemäss Art. 26 Abs. 1 KLV bei Rücktransporten (darin sei lediglich der Transport "zu einem zugelassenen [...] Leistungserbringer" geregelt).</w:t>
      </w:r>
    </w:p>
    <w:p>
      <w:r>
        <w:rPr>
          <w:b/>
        </w:rPr>
        <w:t>E. 5</w:t>
      </w:r>
    </w:p>
    <w:p>
      <w:r>
        <w:t>Die Beschwerde ist begründet.</w:t>
      </w:r>
    </w:p>
    <w:p>
      <w:r>
        <w:rPr>
          <w:b/>
        </w:rPr>
        <w:t>E. 6</w:t>
      </w:r>
    </w:p>
    <w:p>
      <w:r>
        <w:t>Auf die Erhebung von Gerichtskosten wird umständehalber verzichtet ( Art. 66 Abs. 1 Satz 1 BGG ). Die Beschwerdeführerin hat keinen Anspruch auf eine Parteientschädigung ( Art. 68 Abs. 3 BGG ; Urteil 9C_698/2016 vom 4. Mai 2017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