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406/2008 vom 22. Juli 2008</w:t>
      </w:r>
    </w:p>
    <w:p>
      <w:r>
        <w:t>Bundesgericht, 2008-07-22, FR</w:t>
      </w:r>
    </w:p>
    <w:p>
      <w:r>
        <w:rPr>
          <w:b/>
        </w:rPr>
        <w:t xml:space="preserve">Quelle: </w:t>
      </w:r>
      <w:r>
        <w:t>https://mcp.opencaselaw.ch/entscheid/bger_9C_406_2008</w:t>
      </w:r>
    </w:p>
    <w:p>
      <w:r>
        <w:t>FR: TF 9C 406/2008 du 22 juillet 2008</w:t>
      </w:r>
    </w:p>
    <w:p>
      <w:r>
        <w:t>IT: TF 9C 406/2008 del 22 luglio 2008</w:t>
      </w:r>
    </w:p>
    <w:p>
      <w:pPr>
        <w:pStyle w:val="Heading2"/>
      </w:pPr>
      <w:r>
        <w:t>Regeste</w:t>
      </w:r>
    </w:p>
    <w:p>
      <w:r>
        <w:t>Assurance-invalidité | Assurance-invalidité</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1.2</w:t>
      </w:r>
    </w:p>
    <w:p>
      <w:r>
        <w:t>Le litige porte sur le droit à une rente de l'assurance-invalidité. Les principes relatifs au pouvoir d'examen en cas d'évaluation de l'invalidité développés dans l' ATF 132 V 393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w:t>
      </w:r>
    </w:p>
    <w:p>
      <w:r>
        <w:rPr>
          <w:b/>
        </w:rPr>
        <w:t>E. 1.3</w:t>
      </w:r>
    </w:p>
    <w:p>
      <w:r>
        <w:t>Le jugement entrepris expose correctement les dispositions légales et la jurisprudence applicables en matière d'évaluation de l'invalidité, de sorte qu'il suffit d'y renvoyer.</w:t>
      </w:r>
    </w:p>
    <w:p>
      <w:r>
        <w:rPr>
          <w:b/>
        </w:rPr>
        <w:t>E. 2</w:t>
      </w:r>
    </w:p>
    <w:p>
      <w:r>
        <w:t>En substance, le Tribunal cantonal des assurances sociales a considéré qu'il n'y avait pas lieu de s'écarter des conclusions de l'expertise réalisée par le docteur B.________ ainsi que de celles de l'enquête économique sur le ménage effectuée par l'office AI.</w:t>
      </w:r>
    </w:p>
    <w:p>
      <w:r>
        <w:rPr>
          <w:b/>
        </w:rPr>
        <w:t>E. 3.1</w:t>
      </w:r>
    </w:p>
    <w:p>
      <w:r>
        <w:t>Dans une première série de griefs, la recourante s'en prend à la valeur probante de l'expertise réalisée par le docteur B.________. Elle soutient d'une part que la juridiction cantonale aurait dû désigner un spécialiste en psychiatrie afin de pouvoir juger en connaissance de cause du caractère invalidant du syndrome fibromyalgique, l'expert désigné n'étant titulaire que d'une spécialisation en rhumatologie. La fiabilité de l'expertise serait d'autre part entachée par les contradictions que l'expert a exprimées au cours de la procédure quant à l'étendue de la capacité de travail résiduelle exigible.</w:t>
      </w:r>
    </w:p>
    <w:p>
      <w:r>
        <w:rPr>
          <w:b/>
        </w:rPr>
        <w:t>E. 3.2</w:t>
      </w:r>
    </w:p>
    <w:p>
      <w:r>
        <w:t>Ces critiques se révèlent en l'espèce vaines. Ainsi que cela ressort de l'expertise, le docteur B.________ est titulaire d'une formation complémentaire en médecine psychosomatique et psychosociale. Il convient donc d'admettre qu'il est en mesure de se prononcer de façon pertinente sur le caractère invalidant d'un syndrome fibromyalgique, comme l'a d'ailleurs déjà jugé le Tribunal fédéral dans une affaire similaire concernant le même médecin (arrêt I 122/06 du 5 avril 2007, consid. 2.3). De même, la recourante ne saurait rien tirer en sa faveur des contradictions résultant de la confrontation entre le rapport d'expertise du 2 juin 2006 et son complément du 20 juillet 2006. Après avoir invité le docteur B.________ à prendre clairement position sur la question de la capacité résiduelle de travail lors de l'audience qu'elle a tenue le 27 novembre 2007, la juridiction cantonale a estimé, sur la base de l'avis du docteur M.________ et des déclarations concordantes du docteur B.________, que la recourante présentait une capacité résiduelle de travail de 50 % dans une activité adaptée. Or il appert que le degré de capacité de travail retenu coïncide avec l'appréciation médicale la plus favorable exprimée au cours de la procédure. Les droits de la recourante n'ont ainsi été nullement prétérités par les revirements de l'expert. Dans la mesure où rien n'indique par ailleurs, et la recourante n'argumente nullement en ce sens, que cette appréciation des faits serait manifestement insoutenable, il n'y a pas lieu de s'en écarter.</w:t>
      </w:r>
    </w:p>
    <w:p>
      <w:r>
        <w:rPr>
          <w:b/>
        </w:rPr>
        <w:t>E. 4.1</w:t>
      </w:r>
    </w:p>
    <w:p>
      <w:r>
        <w:t>Dans une deuxième série de griefs, la recourante remet en cause l'objectivité de l'enquête économique sur le ménage. Elle estime en premier lieu que la réalisation de celle-ci aurait dû être confiée à un expert indépendant, et non à une employée de l'office AI comme cela a été le cas en l'espèce. Elle s'étonne ensuite du fait que le taux d'empêchement retenu (6,25 %) puisse diverger de manière aussi significative de l'incapacité totale d'exercer la profession de nettoyeuse retenue sur le plan médical, et que l'évaluation tienne compte de l'aide susceptible d'être apportée par son mari.</w:t>
      </w:r>
    </w:p>
    <w:p>
      <w:r>
        <w:rPr>
          <w:b/>
        </w:rPr>
        <w:t>E. 4.2</w:t>
      </w:r>
    </w:p>
    <w:p>
      <w:r>
        <w:t>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 ATF 128 V 93 ).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p. 353).</w:t>
      </w:r>
    </w:p>
    <w:p>
      <w:r>
        <w:rPr>
          <w:b/>
        </w:rPr>
        <w:t>E. 4.3</w:t>
      </w:r>
    </w:p>
    <w:p>
      <w:r>
        <w:t>L'incapacité de travail et l'incapacité d'accomplir ses travaux habituels sont deux notions qui, même si elles se recoupent en partie, doivent être différenciées. Aux termes de l' art. 6 LPGA , l'incapacité de travail se définit comme comme toute perte, totale ou partielle, de l'aptitude de l'assuré à accomplir, dans sa profession ou dans son domaine d'activité, le travail qui peut raisonnablement être exigé de lui, si cette perte résulte d'une atteinte à sa santé physique, mentale ou psychique. Pour une nettoyeuse professionnelle, elle s'évalue donc au regard de son inaptitude à effectuer les tâches de nettoyage proprement dites (passer l'aspirateur, entretenir les sols, nettoyer les vitres, épousseter, etc.). En revanche, l'incapacité d'accomplir les travaux habituels ( art. 28 al. 2bis LAI en corrélation avec les art. 27 RAI et 8 al. 3 LPGA) s'évalue différemment. Elle se fonde non seulement sur l'inaptitude de l'assurée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établie (CIIAI), p. 65, no 3084 ss). La tenue d'un ménage privé permet, par ailleurs, des adaptations de l'activité aux problèmes physiques qui ne sont pas nécessairement compatibles avec les exigences de rendement propres à l'exercice similaire dans un contexte professionnel (arrêt I 593/03 du 13 avril 2005, consid. 5.3). A ces éléments s'ajoute également le fait qu'au titre de son obligation de réduire le dommage, la personne assurée est notamment tenue d'adopter une méthode de travail adéquate, de répartir son travail en conséquence et de demander l'aide de ses proches dans une mesure convenable ( ATF 133 V 504 consid. 4.2 p. 509 et les références).</w:t>
      </w:r>
    </w:p>
    <w:p>
      <w:r>
        <w:rPr>
          <w:b/>
        </w:rPr>
        <w:t>E. 4.4</w:t>
      </w:r>
    </w:p>
    <w:p>
      <w:r>
        <w:t>Au regard de la jurisprudence exposée ci-dessus, les critiques d'ordre général développées par la recourante à l'appui de son recours ne lui permettent pas d'établir une violation du droit fédéral. A défaut de griefs précis et étayés propres à faire naître un doute sur le bien-fondé des conclusions du rapport d'enquête ou sur l'impartialité de l'enquêtrice qui les a rédigées, il n'y a pas lieu de s'écarter du degré d'incapacité retenu dans le cadre de l'établissement de l'enquête économique sur le ménage.</w:t>
      </w:r>
    </w:p>
    <w:p>
      <w:r>
        <w:rPr>
          <w:b/>
        </w:rPr>
        <w:t>E. 5</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