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404/2019 vom 3. Juli 2019</w:t>
      </w:r>
    </w:p>
    <w:p>
      <w:r>
        <w:t>Bundesgericht, 2019-07-03, FR</w:t>
      </w:r>
    </w:p>
    <w:p>
      <w:r>
        <w:rPr>
          <w:b/>
        </w:rPr>
        <w:t xml:space="preserve">Quelle: </w:t>
      </w:r>
      <w:r>
        <w:t>https://mcp.opencaselaw.ch/entscheid/bger_9C_404_2019</w:t>
      </w:r>
    </w:p>
    <w:p>
      <w:r>
        <w:t>FR: TF 9C 404/2019 du 3 juillet 2019</w:t>
      </w:r>
    </w:p>
    <w:p>
      <w:r>
        <w:t>IT: TF 9C 404/2019 del 3 luglio 2019</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03.07.2019 9C 404/2019 (9C_404/2019) Tribunal fédéral IVe Cour de droit public (IIe Cour de droit social) 03.07.2019 9C 404/2019 (9C_404/2019) Tribunale federale IV Corte di diritto pubblico (II Corte di diritto sociale) 03.07.2019 9C 404/2019 (9C_404/2019)</w:t>
      </w:r>
    </w:p>
    <w:p>
      <w:r>
        <w:t>Prestation complémentaire à l'AVS/AI (condition de recevabilité) | Prestations complémentaires à l'AVS/AI</w:t>
      </w:r>
    </w:p>
    <w:p>
      <w:r>
        <w:t>Bundesgericht Tribunal fédéral Tribunale federale Tribunal federal 9C_404/2019 Arrêt du 3 juillet 2019 IIe Cour de droit social Composition Mme la Juge fédérale Pfiffner, Présidente. Greffière : Mme Perrenoud. Participants à la procédure A.________, recourant,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9 mai 2019 (A/743/2019 ATAS/405/2019). Vu : le recours du 7 juin 2019(timbre postal) contre le jugement de la Cour de justice de la République et canton de Genève, Chambre des assurances sociales, du 9 mai 2019, considérant : que selon l' art. 42 al. 1 et 2 LTF , le recours doit indiquer, entre autres exigences, les conclusions, les motifs et les moyens de preuve, en exposant succinctement en quoi l'acte attaqué est contraire au droit, qu'en l'espèce, l'écriture déposée le 7 juin 2019 ne contient ni motivation, même sommaire, ni conclusion, si bien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que dans la mesure où les délais fixés par la loi - à l'instar du délai de recours au Tribunal fédéral (cf. art. 100 al. 1 LTF ) - ne sont pas prolongeables ( art. 47 al. 1 LTF ), la requête du recourant tendant à l'octroi d'un "délai supplémentaire afin de [...] fournir les éléments pour soutenir l'objet de [s]on recours", doit pour le surplus être rejetée,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3 juillet 2019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