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9C_404/2013 vom 21. Juni 2013</w:t>
      </w:r>
    </w:p>
    <w:p>
      <w:r>
        <w:t>Bundesgericht, 2013-06-21, DE</w:t>
      </w:r>
    </w:p>
    <w:p>
      <w:r>
        <w:rPr>
          <w:b/>
        </w:rPr>
        <w:t xml:space="preserve">Quelle: </w:t>
      </w:r>
      <w:r>
        <w:t>https://mcp.opencaselaw.ch/entscheid/bger_9C_404_2013</w:t>
      </w:r>
    </w:p>
    <w:p>
      <w:r>
        <w:t>FR: TF 9C_404/2013 du 21 juin 2013</w:t>
      </w:r>
    </w:p>
    <w:p>
      <w:r>
        <w:t>IT: TF 9C_404/2013 del 21 giugno 2013</w:t>
      </w:r>
    </w:p>
    <w:p>
      <w:pPr>
        <w:pStyle w:val="Heading2"/>
      </w:pPr>
      <w:r>
        <w:t>Volltext</w:t>
      </w:r>
    </w:p>
    <w:p>
      <w:r>
        <w:t>Bundesgericht</w:t>
      </w:r>
    </w:p>
    <w:p>
      <w:r>
        <w:t>Tribunal fédéral</w:t>
      </w:r>
    </w:p>
    <w:p>
      <w:r>
        <w:t>Tribunale federale</w:t>
      </w:r>
    </w:p>
    <w:p>
      <w:r>
        <w:t>Tribunal federal</w:t>
      </w:r>
    </w:p>
    <w:p>
      <w:r>
        <w:t>{T 0/2}</w:t>
      </w:r>
    </w:p>
    <w:p>
      <w:r>
        <w:t>9C_404/2013</w:t>
      </w:r>
    </w:p>
    <w:p>
      <w:r>
        <w:t>Urteil vom 21. Juni 2013</w:t>
      </w:r>
    </w:p>
    <w:p>
      <w:r>
        <w:t>II. sozialrechtliche Abteilung</w:t>
      </w:r>
    </w:p>
    <w:p>
      <w:r>
        <w:t>Besetzung</w:t>
      </w:r>
    </w:p>
    <w:p>
      <w:r>
        <w:t>Bundesrichter Meyer, als Einzelrichter,</w:t>
      </w:r>
    </w:p>
    <w:p>
      <w:r>
        <w:t>Gerichtsschreiberin Keel Baumann.</w:t>
      </w:r>
    </w:p>
    <w:p>
      <w:r>
        <w:t>Verfahrensbeteiligte</w:t>
      </w:r>
    </w:p>
    <w:p>
      <w:r>
        <w:t>G.________,</w:t>
      </w:r>
    </w:p>
    <w:p>
      <w:r>
        <w:t>vertreten durch Beratungsstelle für Ausländer,</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15. April 2013.</w:t>
      </w:r>
    </w:p>
    <w:p>
      <w:r>
        <w:t>Nach Einsicht</w:t>
      </w:r>
    </w:p>
    <w:p>
      <w:r>
        <w:t>in die Beschwerde vom 27. Mai 2013 (Poststempel) gegen den Entscheid des Sozialversicherungsgerichts des Kantons Zürich vom 15. April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die Beschwerde keine genügende Auseinandersetzung mit der vorinstanzlichen Sachverhaltsfeststellung und Beweiswürdigung enthält, hat doch das kantonale Gericht eingehend begründet, weshalb es auf die Schlussfolgerungen des psychiatrischen Gutachtens des Begutachtungszentrums X.________ vom 29. April 2011 abstellte, und befasst sich die Beschwerdeführerin damit - wenn überhaupt - höchstens in appellatorischer Weise,</w:t>
      </w:r>
    </w:p>
    <w:p>
      <w:r>
        <w:t>dass sich die Versicherte, indem sie sich auf eine eigene, abweichende Darstellung ihrer gesundheitlichen Verhältnisse beschränkt, auch nicht rechtsgenüglich mit den vorinstanzlichen Erwägungen auseinandersetzt, wonach in somatischer Hinsicht keine Einschränkung mit Krankheitswert besteht und eine allfällige Beeinträchtigung durch eine somatoforme Schmerzstörung nicht invalidisierend ist, weil die hiefür rechtsprechungsgemäss erforderlichen Kriterien nicht erfüllt sind,</w:t>
      </w:r>
    </w:p>
    <w:p>
      <w:r>
        <w:t>dass deshalb im vereinfachten Verfahren nach Art. 108 Abs. 1 lit. b und Abs. 2 BGG auf die Beschwerde nicht einzutreten ist,</w:t>
      </w:r>
    </w:p>
    <w:p>
      <w:r>
        <w:t>dass von der Erhebung von Gerichtskosten umständehalber abzusehen ( Art. 66 Abs. 1 Satz 2 BGG ) und das Gesuch um unentgeltliche Rechtspflege demzufolge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Juni 2013</w:t>
      </w:r>
    </w:p>
    <w:p>
      <w:r>
        <w:t>Im Namen der II. sozialrechtlichen Abteilung</w:t>
      </w:r>
    </w:p>
    <w:p>
      <w:r>
        <w:t>des Schweizerischen Bundesgerichts</w:t>
      </w:r>
    </w:p>
    <w:p>
      <w:r>
        <w:t>Der Einzelrichter:       Die Gerichtsschreiberin:</w:t>
      </w:r>
    </w:p>
    <w:p>
      <w:r>
        <w:t>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