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9C_404/2007 vom 11. April 2008</w:t>
      </w:r>
    </w:p>
    <w:p>
      <w:r>
        <w:t>Bundesgericht, 2008-04-11, DE</w:t>
      </w:r>
    </w:p>
    <w:p>
      <w:r>
        <w:rPr>
          <w:b/>
        </w:rPr>
        <w:t xml:space="preserve">Quelle: </w:t>
      </w:r>
      <w:r>
        <w:t>https://mcp.opencaselaw.ch/entscheid/bger_9C_404_2007</w:t>
      </w:r>
    </w:p>
    <w:p>
      <w:r>
        <w:t>FR: TF 9C_404/2007 du 11 avril 2008</w:t>
      </w:r>
    </w:p>
    <w:p>
      <w:r>
        <w:t>IT: TF 9C_404/2007 del 11 aprile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1.3</w:t>
      </w:r>
    </w:p>
    <w:p>
      <w:r>
        <w:t>Die Festlegung der Höhe des Abzugs vom Tabellenlohn beschlägt eine typische Ermessensfrage und ist im Lichte der Kognitionsbefugnis ( Art. 95 und Art. 105 Abs. 2 BGG ) letztinstanzlicher Korrektur nur dort zugänglich, wo das kantonale Gericht das Rechtsermessen rechtsfehlerhaft ausgeübt hat, also Ermessensüberschreitung, -missbrauch oder -unterschreitung ( BGE 132 V 393 E. 2.2 und 3.3 S. 396 und 399).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w:t>
      </w:r>
    </w:p>
    <w:p>
      <w:r>
        <w:rPr>
          <w:b/>
        </w:rPr>
        <w:t>E. 2.1</w:t>
      </w:r>
    </w:p>
    <w:p>
      <w:r>
        <w:t>Streitig ist die Höhe des Invaliditätsgrades ab 1. Dezember 2001. Der Beschwerdegegner erzielte 2000 einen Jahresverdienst von Fr. 53'365.-. Weil dieser Lohn tiefer als der Tabellenlohn gemäss der Schweizerischen Lohnstrukturerhebung 2000 des Bundesamtes für Statistik (LSE; vgl. BGE 129 V 472 E. 4.2.1 S. 475 ff.) und damit "leicht unterdurchschnittlich" war, stellte die IV-Stelle für das Valideneinkommen auf die Durchschnittslöhne der LSE ab und setzte es für eine 41.8 Stundenwoche auf Fr. 55'640.- fest. Dieses Vorgehen erachtete das kantonale Gericht als richtig, da damit die nicht invaliditätsbedingte Differenz zwischen Tabellenlohn und tatsächlich verdientem Lohn ausgeglichen werde. Für das Invalideneinkommen stellte die IV-Stelle - ausgehend von einer Leistungsfähigkeit von 65 % - ebenfalls auf den Tabellenlohn ab und billigte dem Versicherten davon einen Abzug von 10 % zu. Das kantonale Gericht korrigierte diesen Abzug auf die höchst zulässige Höhe von 25 % ( BGE 126 V 75 ).</w:t>
      </w:r>
    </w:p>
    <w:p>
      <w:r>
        <w:rPr>
          <w:b/>
        </w:rPr>
        <w:t>E. 2.2</w:t>
      </w:r>
    </w:p>
    <w:p>
      <w:r>
        <w:t>Die Beschwerde führende IV-Stelle beanstandet das Vorgehen des kantonalen Gerichts mit dem Argument, wenn auf der Validenseite nicht auf den effektiv erzielten Lohn abgestellt werde und damit bestimmte Faktoren (Nachteile kultureller und bildungsmässiger Natur, fortgeschrittenes Alter) bereits kompensiert worden seien, so dürften sie nicht zusätzlich zu einem weiteren Abzug vom Invalideneinkommen führen. Sie macht damit eine Bundesrechtsverletzung bei der Ermittlung der beiden Vergleichseinkommen geltend.</w:t>
      </w:r>
    </w:p>
    <w:p>
      <w:r>
        <w:rPr>
          <w:b/>
        </w:rPr>
        <w:t>E. 2.3</w:t>
      </w:r>
    </w:p>
    <w:p>
      <w:r>
        <w:t>Das Valideneinkommen ist grundsätzlich anhand des zuletzt verdienten Lohnes zu bestimmen (RKUV 1993 Nr. U 168 S. 100 f. E. 3b; Ulrich Meyer-Blaser, Bundesgesetz über die Invalidenversicherung, Zürich 1997 S. 205).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Indem Beschwerdeführerin und kantonales Gericht nicht auf den tatsächlich verdienten Lohn abgestellt haben, haben sie das Valideneinkommen in bundesrechtswidriger Weise ermittelt. Für den Einkommensvergleich ist daher von einem Einkommen ohne Invalidität von Fr. 53'365.- auszugehen.</w:t>
      </w:r>
    </w:p>
    <w:p>
      <w:r>
        <w:rPr>
          <w:b/>
        </w:rPr>
        <w:t>E. 2.4</w:t>
      </w:r>
    </w:p>
    <w:p>
      <w:r>
        <w:t>Ausgehend vom einem sowohl für das Validen- wie auch für das Invalideneinkommen herangezogenen identischen Tabellenlohn, d.h. von Fr. 55'640.-, hat das kantonale Gericht angesichts der verbindlich und nicht offensichtlich unrichtig festgestellten Restarbeitsfähigkeit von 65 % sowie unter Gewährung eines auf 25 % erhöhten Abzugs vom Tabellenlohn einen Invaliditätsgrad von gerundet 51 % (35 % + [65 % x 25 %] = 51.25 %) ermittelt. Das Invalideneinkommen beläuft sich damit nach der Berechnung des kantonalen Gerichts auf Fr. 27'124.- (55'640 x 65 % x 75 %). Wird jedoch beim Valideneinkommen richtigerweise (E. 2.3) auf das effektive Einkommen von Fr. 53'365.- abgestellt, so resultiert ein Invaliditätsgrad von 49 % (zur Rundungsregel vgl. BGE 130 V 121 ). Selbst wenn der Abzug vom Tabellenlohn auf das höchst zulässige Mass von 25 % erhöht wird, ergibt sich demnach ein unter 50 % liegender Invaliditätsgrad. Es braucht daher nicht geprüft zu werden, ob das kantonale Gericht mit der Erhöhung des Abzugs vom Tabellenlohn von 10 % auf 25 % ermessensmissbräuchlich gehandelt hat oder nicht (vgl. E. 1.3).</w:t>
      </w:r>
    </w:p>
    <w:p>
      <w:r>
        <w:rPr>
          <w:b/>
        </w:rPr>
        <w:t>E. 2.5</w:t>
      </w:r>
    </w:p>
    <w:p>
      <w:r>
        <w:t>Sowohl die Rentenverfügung vom 6. Dezember 2005 wie auch der Einspracheentscheid vom 11. Mai 2006, mit welchen die IV-Stelle über die Höhe des Rentenanspruchs ab 1. Dezember 2001 befunden hat, enthalten in dispositiv- und begründungsmässiger Hinsicht keinerlei Ausführungen über die Frage der Härtefallrente und insbesondere zur Frage, ob für die Zeit ab 1. Januar 2004 die Voraussetzungen für die Weiterausrichtung der Härtefallrente im Sinne von lit. d Abs. 2 der Schlussbestimmungen zur Änderung des IVG vom 21. März 2003 (4. IVG-Revision, gültig seit dem 1. Januar 2004) erfüllt sind. Es kann auf die zutreffenden Ausführungen des kantonalen Gerichts verwiesen werden. Es wird daher zunächst Sache der Beschwerdeführerin sein, die entsprechenden Abklärungen zu treffen und über die Frage des Anspruchs auf eine Härtefallrente zu verfügen.</w:t>
      </w:r>
    </w:p>
    <w:p>
      <w:r>
        <w:rPr>
          <w:b/>
        </w:rPr>
        <w:t>E. 3</w:t>
      </w:r>
    </w:p>
    <w:p>
      <w:r>
        <w:t>Der Beschwerdegegner hat als unterliegende Partei die Gerichtskosten zu tragen ( Art. 66 Abs. 1 BGG ). Diese sind indessen, weil der Beschwerdegegner die Voraussetzungen für die Bewilligung der unentgeltlichen Rechtspflege (im Sinne unentgeltlicher Prozessführung und Verbeiständung) erfüllt ( Art. 64 Abs. 1 und 2 BGG ; vgl. BGE 125 V 201 E. 4a S. 202 und 371 E. 5b S. 372, je mit Hinweisen), einstweilen auf die Gerichtskasse zu nehmen.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