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402/2011 vom 3. Oktober 2011</w:t>
      </w:r>
    </w:p>
    <w:p>
      <w:r>
        <w:t>Bundesgericht, 2011-10-03, FR</w:t>
      </w:r>
    </w:p>
    <w:p>
      <w:r>
        <w:rPr>
          <w:b/>
        </w:rPr>
        <w:t xml:space="preserve">Quelle: </w:t>
      </w:r>
      <w:r>
        <w:t>https://mcp.opencaselaw.ch/entscheid/bger_9C_402_2011</w:t>
      </w:r>
    </w:p>
    <w:p>
      <w:r>
        <w:t>FR: TF 9C 402/2011 du 3 octobre 2011</w:t>
      </w:r>
    </w:p>
    <w:p>
      <w:r>
        <w:t>IT: TF 9C 402/2011 del 3 ottobre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Est seule litigieuse en l'espèce la date à partir de laquelle la rente d'invalidité doit être versée. Alors que les premiers juges se sont fondés pour fixer la naissance du droit à la rente sur la date à laquelle l'intimée a signé la demande de prestations (1er août 2003), l'office recourant estime que c'est la date du dépôt de la demande qui était seule déterminante (3 novembre 2003).</w:t>
      </w:r>
    </w:p>
    <w:p>
      <w:r>
        <w:rPr>
          <w:b/>
        </w:rPr>
        <w:t>E. 3.1</w:t>
      </w:r>
    </w:p>
    <w:p>
      <w:r>
        <w:t>Selon l' art. 48 al. 2 LAI (dans sa teneur en vigueur jusqu'au 31 décembre 2007, applicable en l'espèce), si l'assuré présente sa demande plus de douze mois après la naissance du droit, les prestations, en dérogation à l' art. 24 al. 1 LPGA ,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w:t>
      </w:r>
    </w:p>
    <w:p>
      <w:r>
        <w:rPr>
          <w:b/>
        </w:rPr>
        <w:t>E. 3.2</w:t>
      </w:r>
    </w:p>
    <w:p>
      <w:r>
        <w:t>Selon l' art. 29 LPGA , celui qui fait valoir son droit à des prestations doit s'annoncer à l'assureur compétent, dans la forme prescrite pour l'assurance sociales concernées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voir également ATF 103 V 69 ).</w:t>
      </w:r>
    </w:p>
    <w:p>
      <w:r>
        <w:rPr>
          <w:b/>
        </w:rPr>
        <w:t>E. 3.3</w:t>
      </w:r>
    </w:p>
    <w:p>
      <w:r>
        <w:t>Si la date du dépôt de la demande est contestée, il incombe à la personne assurée de prouver les faits qu'elle allègue et de supporter les conséquences négatives du défaut de preuve (arrêt I 292/69 du 5 février 1970 consid. 3, in RCC 1970 p. 476; UELI KIESER, ATSG-Kommentar, 2e éd. 2009, n° 19 ad art. 29 LPGA ).</w:t>
      </w:r>
    </w:p>
    <w:p>
      <w:r>
        <w:rPr>
          <w:b/>
        </w:rPr>
        <w:t>E. 3.4</w:t>
      </w:r>
    </w:p>
    <w:p>
      <w:r>
        <w:t>En l'occurrence, la juridiction cantonale a reconnu le droit à une rente entière d'invalidité à compter du 1er août 2002 en se fondant sur la date apposée par l'intimée à la fin de la formule de demande de prestations (1er août 2003), date qui ne correspondait pas à celle du dépôt de la demande auprès de l'office recourant, attestée par le tampon figurant sur la première page de la formule (3 novembre 2003). En l'absence d'indice permettant objectivement de retenir une date autre que celle du 3 novembre 2003, il n'y avait pas lieu de s'écarter de la date du dépôt de la demande. Conformément à l'art. 48 al. 2 aLAI, ce n'est donc qu'à compter du 1er novembre 2002 que l'intimée peut prétendre à une rente de l'assurance-invalidité.</w:t>
      </w:r>
    </w:p>
    <w:p>
      <w:r>
        <w:rPr>
          <w:b/>
        </w:rPr>
        <w:t>E. 4</w:t>
      </w:r>
    </w:p>
    <w:p>
      <w:r>
        <w:t>Bien fondé, le recours doit être admis et les jugements attaqués modifiés, dans la mesure où ils fixent le début du droit à la rente au 1er août 2003. L'intimée, qui succombe, doit supporter les frais judiciaires ( art. 66 al. 1 LTF ).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