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402/2010 vom 21. Februar 2011</w:t>
      </w:r>
    </w:p>
    <w:p>
      <w:r>
        <w:t>Bundesgericht, 2011-02-21, FR</w:t>
      </w:r>
    </w:p>
    <w:p>
      <w:r>
        <w:rPr>
          <w:b/>
        </w:rPr>
        <w:t xml:space="preserve">Quelle: </w:t>
      </w:r>
      <w:r>
        <w:t>https://mcp.opencaselaw.ch/entscheid/bger_9C_402_2010</w:t>
      </w:r>
    </w:p>
    <w:p>
      <w:r>
        <w:t>FR: TF 9C 402/2010 du 21 février 2011</w:t>
      </w:r>
    </w:p>
    <w:p>
      <w:r>
        <w:t>IT: TF 9C 402/2010 del 21 febbraio 2011</w:t>
      </w:r>
    </w:p>
    <w:p>
      <w:pPr>
        <w:pStyle w:val="Heading2"/>
      </w:pPr>
      <w:r>
        <w:t>Regeste</w:t>
      </w:r>
    </w:p>
    <w:p>
      <w:r>
        <w:t>Assurance-invalidité (publicité de la procédure)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sans être limité par les arguments du recourant, ni par la motivation de l'autorité précédente; il peut donc admettre un recours pour d'autres motifs que ceux invoqués et le rejeter par une argumentation autre que celle de l'autorité précédente (cf. ATF 133 V 515 consid. 1.3 p. 519; 130 III 136 consid. 1.4 p. 140). Il n'examine en principe que les griefs allégués, eu égard à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Le recourant ne peut critiquer la constatation des faits importants pour le jugement de la cause que si ceux-ci ont été constatés de façon manifestement inexacte - notion qui correspond à celle d'arbitraire (cf. ATF 134 V 53 consid. 4.3 p. 62; 133 II 249 consid. 1.2.2 p. 252; 129 I 8 consid. 2.1 p. 9) - ou en violation du droit au sens de l' art. 95 LTF et si la correction du vice peut influer sur le sort de la cause ( art. 97 al. 1 LTF ). Conformément à la pratique qui prévalait en matière de recours de droit public, l' art. 106 al. 2 LTF exige que la violation des droits fondamentaux soit explicitement soulevée et clairement exposée dans le mémoire de recours (cf. ATF 130 I 26 consid. 2.1 p. 31, 258 consid. 1.3 p. 261).</w:t>
      </w:r>
    </w:p>
    <w:p>
      <w:r>
        <w:rPr>
          <w:b/>
        </w:rPr>
        <w:t>E. 2</w:t>
      </w:r>
    </w:p>
    <w:p>
      <w:r>
        <w:t>La recourante reproche à la juridiction cantonale de ne pas avoir organisé des débats.</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2.2</w:t>
      </w:r>
    </w:p>
    <w:p>
      <w:r>
        <w:t>En l'espèce, les premiers juges ne pouvaient pas renoncer à organiser des débats publics pour les motifs invoqués (demande non motivée, procédure écrite convenant mieux à l'évaluation de la capacité de travail) sous peine de violer le droit fédéral. Le litige porte en effet sur l'évaluation de la capacité résiduelle de travail de la recourante au regard des opinions contradictoires d'un expert et du médecin traitant. Il s'agit d'une procédure bénéficiant de la protection de l'art. 6 § 1 CEDH (cf. ATF 125 V 499 consid. 2a p. 501; 122 V 47 consid. 2a p. 50) et qui ne tombe pas sous le coup d'une exception prévue par la jurisprudence (cf. consid. 2.1). Il ne s'agit en particulier pas de questions hautement techniques (cf. arrêt 8C_950/2010 du 28 janvier 2011 consid. 2.1). Il existe en outre une demande certes non motivée mais claire et indiscutable dans ses termes qui ne saurait être confondue avec une simple requête de preuve. Dans ces circonstances, l'acte attaqué doit être annulé et la cause renvoyée à la juridiction cantonale afin qu'elle organise des débats et rende un nouveau jugement.</w:t>
      </w:r>
    </w:p>
    <w:p>
      <w:r>
        <w:rPr>
          <w:b/>
        </w:rPr>
        <w:t>E. 3</w:t>
      </w:r>
    </w:p>
    <w:p>
      <w:r>
        <w:t>Vu l'issue du litige, les frais judiciaires sont mis à la charge de l'office intimé ( art. 66 al. 1 LTF ) qui versera à l'assurée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