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9C_401/2021 vom 15. September 2021</w:t>
      </w:r>
    </w:p>
    <w:p>
      <w:r>
        <w:t>Bundesgericht, 2021-09-15, DE</w:t>
      </w:r>
    </w:p>
    <w:p>
      <w:r>
        <w:rPr>
          <w:b/>
        </w:rPr>
        <w:t xml:space="preserve">Quelle: </w:t>
      </w:r>
      <w:r>
        <w:t>https://mcp.opencaselaw.ch/entscheid/bger_9C_401_2021</w:t>
      </w:r>
    </w:p>
    <w:p>
      <w:r>
        <w:t>FR: TF 9C_401/2021 du 15 septembre 2021</w:t>
      </w:r>
    </w:p>
    <w:p>
      <w:r>
        <w:t>IT: TF 9C_401/2021 del 15 settembre 2021</w:t>
      </w:r>
    </w:p>
    <w:p>
      <w:pPr>
        <w:pStyle w:val="Heading2"/>
      </w:pPr>
      <w:r>
        <w:t>Volltext</w:t>
      </w:r>
    </w:p>
    <w:p>
      <w:r>
        <w:t>Bundesgericht</w:t>
      </w:r>
    </w:p>
    <w:p>
      <w:r>
        <w:t>Tribunal fédéral</w:t>
      </w:r>
    </w:p>
    <w:p>
      <w:r>
        <w:t>Tribunale federale</w:t>
      </w:r>
    </w:p>
    <w:p>
      <w:r>
        <w:t>Tribunal federal</w:t>
      </w:r>
    </w:p>
    <w:p>
      <w:r>
        <w:t>9C_401/2021</w:t>
      </w:r>
    </w:p>
    <w:p>
      <w:r>
        <w:t>Urteil vom 15. September 2021</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 (Prozessvoraussetzung),</w:t>
      </w:r>
    </w:p>
    <w:p>
      <w:r>
        <w:t>Beschwerde gegen das Urteil des Verwaltungsgerichts des Kantons Bern vom 5. Juli 2021 (200 21 496 EL).</w:t>
      </w:r>
    </w:p>
    <w:p>
      <w:r>
        <w:t>Nach Einsicht</w:t>
      </w:r>
    </w:p>
    <w:p>
      <w:r>
        <w:t>in die Beschwerde vom 8. Juli 2021 (Poststempel) gegen das Urteil des Verwaltungsgerichts des Kantons Bern vom 5. Juli 2021,</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9C_334/2021 vom 30. Juni 2021 mit Hinweisen),</w:t>
      </w:r>
    </w:p>
    <w:p>
      <w:r>
        <w:t>dass das kantonale Gericht mit angefochtenem Urteil auf die vom Beschwerdeführer erhobene Rechtsvorkehr vom 2. Juli 2021 (Poststempel), worin dieser beantragte, die Beschwerdegegnerin sei superprovisorisch zu verpflichten, ihm ab Januar 2021 Ergänzungsleistungen nebst Zins zu 5 % zu entrichten, mangels Anfechtungsobjekts in Form einer Verfügung oder eines Einspracheentscheids nicht eingetreten ist,</w:t>
      </w:r>
    </w:p>
    <w:p>
      <w:r>
        <w:t>dass der Beschwerdeführer, wie vorinstanzlich festgestellt, keine Rechtsverweigerungs- respektive -verzögerungsbeschwerde erhoben hat,</w:t>
      </w:r>
    </w:p>
    <w:p>
      <w:r>
        <w:t>dass sich der Beschwerdeführer in seiner Eingabe vor dem Bundesgericht nicht klar zu den Gründen äussert, die zum vorinstanzlichen Nichteintretensurteil geführt haben, sondern einzig auf einen anderen, nicht näher gekennzeichneten Entscheid verweist, der indessen vorliegend ohnehin nicht einschlägig zu sein scheint,</w:t>
      </w:r>
    </w:p>
    <w:p>
      <w:r>
        <w:t>dass die Eingabe den genannten inhaltlichen Mindestanforderungen an eine Beschwerde demnach nicht genügt,</w:t>
      </w:r>
    </w:p>
    <w:p>
      <w:r>
        <w:t>dass deshalb im vereinfachten Verfahren nach Art. 108 Abs. 1 lit. b BGG auf die Beschwerde nicht einzutreten ist und der Beschwerdeführer nach Art. 66 Abs. 1 Satz 1 und Abs.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15. September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