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9C_400/2016 vom 2. November 2016</w:t>
      </w:r>
    </w:p>
    <w:p>
      <w:r>
        <w:t>Bundesgericht, 2016-11-02, FR</w:t>
      </w:r>
    </w:p>
    <w:p>
      <w:r>
        <w:rPr>
          <w:b/>
        </w:rPr>
        <w:t xml:space="preserve">Quelle: </w:t>
      </w:r>
      <w:r>
        <w:t>https://mcp.opencaselaw.ch/entscheid/bger_9C_400_2016</w:t>
      </w:r>
    </w:p>
    <w:p>
      <w:r>
        <w:t>FR: TF 9C_400/2016 du 2 novembre 2016</w:t>
      </w:r>
    </w:p>
    <w:p>
      <w:r>
        <w:t>IT: TF 9C_400/2016 del 2 novembre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Compte tenu des conclusions et motifs du recours et au regard du jugement entrepris, le litige en instance fédérale porte sur la restitution des prestations d'invalidité versées du 1er mars 2011 au 28 février 2014 (soit un montant de 38'552 fr.). Comme devant les premiers juges, le recourant conclut à ce qu'il ne soit pas tenu de restituer les prestations en cause et à l'annulation de la décision du 13 octobre 2015. Fait ainsi partie des rapports de droit litigieux aussi bien le point de savoir à partir de quand l'intimé avait connaissance des faits fondant l'obligation de restituer, que la durée du délai de péremption pour réclamer la restitution des prestations indues (consid. 3 infra). En particulier, dès lors que la juridiction cantonale a retenu un délai de sept ans en vertu du droit pénal, à la différence de l'intimé, le recourant est en droit de contester la réalisation des conditions de l'application d'un tel délai devant le Tribunal fédéral. Il est également en droit d'exposer une argumentation juridique relative à la relation de causalité entre son comportement et la perception indue des prestations. Aussi, la motivation de l'intimé selon laquelle le recourant aurait admis le bien-fondé de sa décision, de sorte qu'il ne pourrait plus contester le caractère illicite de son comportement, ni "la période retenue pour demander la restitution des prestations indument perçues" tombe à faux.</w:t>
      </w:r>
    </w:p>
    <w:p>
      <w:r>
        <w:rPr>
          <w:b/>
        </w:rPr>
        <w:t>E. 3.1</w:t>
      </w:r>
    </w:p>
    <w:p>
      <w:r>
        <w:t>Aux termes de l'art. 25 al. 2, 1</w:t>
      </w:r>
    </w:p>
    <w:p>
      <w:r>
        <w:t>ère phrase, LPGA (RS 830.1), le droit de demander la restitution de prestations indûment touchées s'éteint un an après le moment où l'institution d'assurance a eu connaissance du motif de restitution, mais au plus tard cinq ans après le versement de la prestation. Selon la jurisprudence, il s'agit de délais (relatif et absolu) de péremption ( ATF 142 V 20 consid. 3.2.2 p. 24 et les références). Ces délais ne peuvent par conséquent être interrompus. Lorsque l'autorité a accompli l'acte conservatoire que prescrit la loi, le délai se trouve sauvegardé, cela une fois pour toutes (arrêt 8C_616/2009 du 14 décembre 2009 consid. 3.1 et les références).</w:t>
      </w:r>
    </w:p>
    <w:p>
      <w:r>
        <w:t>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 ATF 140 V 521 consid. 2.1 p. 525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(arrêt 9C_454/2012 du 18 mars 2013 consid. 4, non publié à l' ATF 139 V 106 et les références).</w:t>
      </w:r>
    </w:p>
    <w:p>
      <w:r>
        <w:rPr>
          <w:b/>
        </w:rPr>
        <w:t>E. 3.2</w:t>
      </w:r>
    </w:p>
    <w:p>
      <w:r>
        <w:t>Si la créance naît d'un acte punissable pour lequel le droit pénal prévoit un délai plus long, celui-ci est déterminant (art. 25 al. 2, 2</w:t>
      </w:r>
    </w:p>
    <w:p>
      <w:r>
        <w:t>ème phrase, LPGA). En matière d'invalidité, ce sont principalement les infractions réprimées aux art. 146 CP ("Escroquerie") et art. 87 LAVS ("Délits"), applicable par le renvoi de l' art. 70 LAI , qui entrent en considération. En particulier, celui qui aura manqué à son obligation de communiquer ( art. 31 al. 1 LPGA ) sera puni d'une peine pécuniaire de 180 jours-amende au plus, à moins qu'il ne s'agisse d'un crime ou d'un délit frappé d'une peine plus lourde (art. 87, cinquième paragraphe, LAVS).</w:t>
      </w:r>
    </w:p>
    <w:p>
      <w:r>
        <w:rPr>
          <w:b/>
        </w:rPr>
        <w:t>E. 3.3</w:t>
      </w:r>
    </w:p>
    <w:p>
      <w:r>
        <w:t>D'après l' art. 31 al. 1 LPGA ,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 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au sens de l' art. 31 al. 1 LPGA , il faut qu'il y ait un comportement fautif; d'après la jurisprudence, une légère négligence suffit déjà (cf. ATF 112 V 97 consid. 2a p. 101).</w:t>
      </w:r>
    </w:p>
    <w:p>
      <w:r>
        <w:rPr>
          <w:b/>
        </w:rPr>
        <w:t>E. 4.1</w:t>
      </w:r>
    </w:p>
    <w:p>
      <w:r>
        <w:t>La juridiction cantonale a rejeté "l'exception de péremption" invoquée par le recourant au motif que la créance dont se prévalait l'administration était née d'un acte punissable pour lequel le droit pénal prévoyait un délai de prescription de sept ans. Les premiers juges ont tout d'abord considéré que l'assuré n'avait pas adopté un comportement actif de tromperie visant à cacher des informations pertinentes pour l'examen de son droit à des prestations d'invalidité. Il ne paraissait dès lors pas avoir commis une escroquerie au sens de l' art. 146 CP . En revanche, il avait manifestement violé son obligation d'annoncer l'augmentation de salaire accordée dès le mois de novembre 2010, de sorte qu'il s'était rendu coupable d'une infraction au sens de l'art. 87, cinquième paragraphe, LAVS. Les rentes dont la restitution était requise ayant été versées au plus tôt au mois de mars 2011, la demande de restitution initiée par le projet de décision du 26 janvier 2015 était par conséquent intervenue dans le délai de sept ans de l' art. 97 al. 1 CP . Le point de savoir si l'administration avait agi dans le délai d'une année prévu par l' art. 25 al. 2 LPGA pouvait rester ouvert.</w:t>
      </w:r>
    </w:p>
    <w:p>
      <w:r>
        <w:rPr>
          <w:b/>
        </w:rPr>
        <w:t>E. 4.2</w:t>
      </w:r>
    </w:p>
    <w:p>
      <w:r>
        <w:t>Invoquant une violation de l' art. 25 al. 2 LPGA , le recourant affirme pour l'essentiel que le droit de réclamer le remboursement du montant de 38'552 fr. était périmé au moment où la décision de l'office AI a été rendue. Selon lui, le délai de sept ans du droit pénal ne s'appliquait pas, car il ne s'était rendu coupable d'aucune infraction. Par ailleurs, le délai de péremption d'une année était échu car l'intimé n'avait pas agit dans l'année suivant le moment où on aurait pu attendre de sa part qu'il procède aux investigations nécessaires en août 2013. Il soutient encore que le lien de causalité entre la violation dénoncée de l'obligation d'annoncer son augmentation de salaire et la perception de prestations a été interrompu dès le mois d'août 2013 puisque l'office AI savait à ce moment-là qu'il percevait mensuellement un revenu de 5'500 fr.</w:t>
      </w:r>
    </w:p>
    <w:p>
      <w:r>
        <w:rPr>
          <w:b/>
        </w:rPr>
        <w:t>E. 5.1</w:t>
      </w:r>
    </w:p>
    <w:p>
      <w:r>
        <w:t>En l'espèce, la juridiction cantonale n'a pas retenu une tromperie au sens de l' art. 146 CP , ce qui n'est pas remis en cause par les parties.</w:t>
      </w:r>
    </w:p>
    <w:p>
      <w:r>
        <w:t>En revanche, en ce qui concerne les conditions de l'art. 87, cinquième paragraphe, LAVS, on constate à la suite des premiers juges que le recourant pouvait aisément se rendre compte que l'augmentation de salaire intervenue en novembre 2010 était de nature à influencer son droit à des prestations de l'assurance-invalidité. D'ailleurs, comme le rappelle l'office intimé, l'obligation d'annoncer tout changement de salaire figurait en toutes lettres dans la motivation de la décision du 13 janvier 2010. Aussi, la simple lecture de ce document aurait dû amener le recourant à annoncer son augmentation de salaire au plus tard en novembre 2010. Dans ces conditions, force est d'admettre que le recourant ne pouvait ignorer l'importance que revêtait la communication de toute information d'ordre économique le concernant. A l'inverse de ce qu'il prétend, il ne pouvait se reposer sur les seules indications de l'employeur transmises à l'intimé en décembre 2010 - qui se rapportaient aux mois de juin à octobre 2010 -, puisqu'il était personnellement tenu d'annoncer l'augmentation de revenu survenue le 1</w:t>
      </w:r>
    </w:p>
    <w:p>
      <w:r>
        <w:t>er novembre 2010.</w:t>
      </w:r>
    </w:p>
    <w:p>
      <w:r>
        <w:rPr>
          <w:b/>
        </w:rPr>
        <w:t>E. 5.2</w:t>
      </w:r>
    </w:p>
    <w:p>
      <w:r>
        <w:t>Sur le vu de ce qui précède, la juridiction cantonale était en droit de considérer que les conditions objectives et subjectives de l'infraction en cause étaient réalisées; le délai de péremption de plus longue durée prévu par le droit pénal, soit en l'occurrence sept ans ( art. 97 al. 1 CP ), est donc applicable. Le grief y relatif du recourant est mal fondé.</w:t>
      </w:r>
    </w:p>
    <w:p>
      <w:r>
        <w:rPr>
          <w:b/>
        </w:rPr>
        <w:t>E. 6</w:t>
      </w:r>
    </w:p>
    <w:p>
      <w:r>
        <w:t>Il reste à examiner si, comme le recourant le prétend, la communication de l'employeur du 19 août 2013 a interrompu le lien de causalité entre la violation par le recourant de son obligation d'annoncer et la perception indue de prestations.</w:t>
      </w:r>
    </w:p>
    <w:p>
      <w:r>
        <w:rPr>
          <w:b/>
        </w:rPr>
        <w:t>E. 6.1</w:t>
      </w:r>
    </w:p>
    <w:p>
      <w:r>
        <w:t>En ce qui concerne la suppression de la rente d'invalidité en cas de manquement à l'obligation de renseigner, l'art. 88</w:t>
      </w:r>
    </w:p>
    <w:p>
      <w:r>
        <w:t>bis al. 2 let. b RAI suppose un lien de causalité entre le comportement à sanctionner (la violation de l'obligation d'annoncer) et le dommage causé (la perception de prestations indues) pour que l'autorité puisse supprimer avec effet rétroactif des prestations d'invalidité (voir ATF 119 V 431 consid. 4a p. 435; 118 V 214 consid. 3b p. 219; arrêt 9C_454/2012 du 18 mars 2013 consid. 7.3, non publié in ATF 139 V 106 , mais in SVR 2013 IV n° 24 p. 66).</w:t>
      </w:r>
    </w:p>
    <w:p>
      <w:r>
        <w:rPr>
          <w:b/>
        </w:rPr>
        <w:t>E. 6.2</w:t>
      </w:r>
    </w:p>
    <w:p>
      <w:r>
        <w:t>En l'occurrence, selon les constatations de la juridiction cantonale, l'employeur avait communiqué à l'intimé, le 19 août 2013, les fiches relatives au salaire 2012 dont il ressortait que depuis janvier 2012 l'assuré percevait un salaire mensuel brut de 5'500 fr. On doit admettre qu'à partir de cette date, l'intimé avait connaissance d'informations lui permettant de constater que le droit à des prestations telles qu'octroyées jusqu'alors n'était plus fondé en raison de l'augmentation déterminante du revenu du recourant. Cela vaut même si l'administration devait encore entreprendre des investigations pour examiner précisément à partir de quand dite augmentation était survenue.</w:t>
      </w:r>
    </w:p>
    <w:p>
      <w:r>
        <w:t>Par conséquent, le lien de causalité a été interrompu au 1</w:t>
      </w:r>
    </w:p>
    <w:p>
      <w:r>
        <w:t>er septembre 2013. Il n'y a en effet aucun motif de s'écarter de la règle selon laquelle un tel lien est en principe interrompu dès le mois qui suit l'annonce tardive ( ATF 119 V 431 consid. 4a p. 435; arrêt 8C_6/2010 du 4 mai 2010 consid. 5.2). Il y a lieu de retrancher du montant requis par l'office intimé les demi-rente d'invalidité perçues par le recourant du 1</w:t>
      </w:r>
    </w:p>
    <w:p>
      <w:r>
        <w:t>er septembre 2013 au 28 février 2014 (six mois), soit un montant de 6'462 fr. (6 x 1'077 fr.).</w:t>
      </w:r>
    </w:p>
    <w:p>
      <w:r>
        <w:rPr>
          <w:b/>
        </w:rPr>
        <w:t>E. 7.1</w:t>
      </w:r>
    </w:p>
    <w:p>
      <w:r>
        <w:t>Il découle de ce qui précède que le jugement entrepris doit être réformé en ce sens que le recourant est tenu de restituer les demi-rentes d'invalidité perçues entre le 1er mars 2011 et le 31 août 2013, représentant la somme de 32'090 fr. (38'552 fr. - 6'462 fr.). Le recours se révèle partiellement bien fondé.</w:t>
      </w:r>
    </w:p>
    <w:p>
      <w:r>
        <w:rPr>
          <w:b/>
        </w:rPr>
        <w:t>E. 7.2</w:t>
      </w:r>
    </w:p>
    <w:p>
      <w:r>
        <w:t>Vu l'issue du recours, il convient de faire supporter les frais judiciaires à raison des quatre cinquièmes au recourant ( art. 66 al. 1 LTF ) et de un cinquième à l'intimé ( art. 66 al. 4 LTF ). Le recourant a également droit à des dépens réduits dans la même proportion que les frais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