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3/2021 vom 7. Mai 2021</w:t>
      </w:r>
    </w:p>
    <w:p>
      <w:r>
        <w:t>Bundesgericht, 2021-05-07, DE</w:t>
      </w:r>
    </w:p>
    <w:p>
      <w:r>
        <w:rPr>
          <w:b/>
        </w:rPr>
        <w:t xml:space="preserve">Quelle: </w:t>
      </w:r>
      <w:r>
        <w:t>https://mcp.opencaselaw.ch/entscheid/bger_9C_3_2021</w:t>
      </w:r>
    </w:p>
    <w:p>
      <w:r>
        <w:t>FR: TF 9C 3/2021 du 7 mai 2021</w:t>
      </w:r>
    </w:p>
    <w:p>
      <w:r>
        <w:t>IT: TF 9C 3/2021 del 7 maggio 2021</w:t>
      </w:r>
    </w:p>
    <w:p>
      <w:pPr>
        <w:pStyle w:val="Heading2"/>
      </w:pPr>
      <w:r>
        <w:t>Regeste</w:t>
      </w:r>
    </w:p>
    <w:p>
      <w:r>
        <w:t>Alters- und Hinterlassenenversicherung | Alters- und Hinterlassenenversicherung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133 III 545 E. 2.2;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Es steht fest und ist unbestritten, dass die vom Beschwerdegegner erbrachten Chauffeurdienste sozialversicherungsrechtlich als unselbstständige Erwerbstätigkeit zu qualifizieren sind. Streitig und zu prüfen ist demgegenüber, ob das kantonale Gericht Bundesrecht verletzt hat, als es seine Tätigkeit als Vermittler von Limousinendienstleistungen als selbstständige Erwerbstätigkeit qualifizierte.</w:t>
      </w:r>
    </w:p>
    <w:p>
      <w:r>
        <w:rPr>
          <w:b/>
        </w:rPr>
        <w:t>E. 3.1</w:t>
      </w:r>
    </w:p>
    <w:p>
      <w:r>
        <w:t>Übt eine versicherte Person gleichzeitig mehrere Erwerbstätigkeiten aus, ist die beitragsrechtliche Qualifikation nicht auf Grund einer Gesamtbeurteilung vorzunehmen. Vielmehr ist jedes einzelne Erwerbseinkommen dahin zu prüfen, ob es aus selbstständiger oder unselbstständiger Erwerbstätigkeit stammt ( BGE 144 V 111 E. 6.1; 123 V 161 E. 4a; 122 V 169 E. 3b).</w:t>
      </w:r>
    </w:p>
    <w:p>
      <w:r>
        <w:rPr>
          <w:b/>
        </w:rPr>
        <w:t>E. 3.2.1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AHVG ). Vom Einkommen aus selbstständiger Erwerbstätigkeit wird demgegenüber ein Beitrag des Selbstständigerwerbenden erhoben ( Art. 8 AHVG ). Einkommen aus selbstständiger Erwerbstätigkeit ist jedes Erwerbseinkommen, das nicht Entgelt für in unselbstständiger Stellung geleistete Arbeit darstellt ( Art. 9 Abs. 1 AHVG ).</w:t>
      </w:r>
    </w:p>
    <w:p>
      <w:r>
        <w:rPr>
          <w:b/>
        </w:rPr>
        <w:t>E. 3.2.2</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144 V 111 E. 4.2 mit diversen Hinweisen).</w:t>
      </w:r>
    </w:p>
    <w:p>
      <w:r>
        <w:rPr>
          <w:b/>
        </w:rPr>
        <w:t>E. 3.2.3</w:t>
      </w:r>
    </w:p>
    <w:p>
      <w:r>
        <w:t>Als Agenten (Reisevertreter, Handelsreisende usw.) sind natürliche Personen zu betrachten, die gegen Entgelt im Namen und auf Rechnung eines andern ausserhalb von dessen Geschäftsräumen mit Dritten Verträge abschliessen oder den Abschluss vermitteln. Agenten gelten praxisgemäss grundsätzlich als unselbstständig Beschäftigte und nur dann als Selbstständigerwerbende, wenn sie über eine eigene Verkaufsorganisation verfügen, d.h. kumulativ eigene Geschäftsräumlichkeiten benutzen, eigenes Personal beschäftigen und die Geschäftskosten im Wesentlichen selber tragen ( BGE 119 V 161 E. 3b). Diese Umstände lassen auf ein spezifisches Unternehmerrisiko schliessen, weil dabei unabhängig vom Arbeitserfolg Kosten anfallen, welche vom Arbeitgeber oder Selbstständigerwerbenden selber zu tragen sind. Demgegenüber ist das unternehmerische Risiko des alleine, ohne eigene Verkaufsorganisation, tätigen Agenten entsprechend geringer; es erschöpft sich im Wesentlichen darin, dass geleistete Arbeit nicht oder nicht vollständig entschädigt wird (vgl. Urteil 9C_407/2016 vom 23. November 2016 E. 2.3).</w:t>
      </w:r>
    </w:p>
    <w:p>
      <w:r>
        <w:rPr>
          <w:b/>
        </w:rPr>
        <w:t>E. 3.3</w:t>
      </w:r>
    </w:p>
    <w:p>
      <w:r>
        <w:t>Die beitragsrechtliche Qualifikation ist eine vom Bundesgericht frei überprüfbare Rechtsfrage. Die Sachverhaltselemente, die der Schlussfolgerung zugrundeliegen, beschlagen dagegen Tatfragen, welche das Bundesgericht lediglich unter eingeschränktem Blickwinkel beurteilt. Die konkrete wie auch die antizipierte Beweiswürdigung betreffen ebenfalls Tatfragen ( BGE 144 V 111 E. 3 mit Hinweisen). Ob die Vorinstanz im konkreten Fall den für die Beurteilung des Beitragsstatuts massgebenden Kriterien das ihnen gebührende Gewicht beigemessen und insofern deren Bedeutung richtig erkannt hat, stellt demgegenüber eine frei überprüfbare Rechtsfrage dar.</w:t>
      </w:r>
    </w:p>
    <w:p>
      <w:r>
        <w:rPr>
          <w:b/>
        </w:rPr>
        <w:t>E. 4.1</w:t>
      </w:r>
    </w:p>
    <w:p>
      <w:r>
        <w:t>Gemäss den verbindlichen Feststellungen der Vorinstanz tritt der Beschwerdegegner als Vermittler von Dienstleistungen der D.________ im EU-Raum, vorwiegend jedoch in aussereuropäischen Ländern auf. Seine Tätigkeit (Kundenwerbung, Vermittlung) übt er ganz oder teilweise vor Ort (bei den Kunden) aus. Die Rechnungsstellung an den Endkunden wird von den einzelnen Mitgliedern der D.________ erstellt; die B.________ AG als schweizerische Lizenznehmerin der D.________ rechnet die Vermittlungsentschädigung mit dem Beschwerdegegner ab. Damit ist er als Agent im Sinne der in E. 3.2.3 hievor dargelegten Rechtsprechung zu qualifizieren; offenbleiben kann in diesem Zusammenhang die privatrechtliche Qualifikation seines Vertragsverhältnisses mit der B.________ AG.</w:t>
      </w:r>
    </w:p>
    <w:p>
      <w:r>
        <w:rPr>
          <w:b/>
        </w:rPr>
        <w:t>E. 4.2</w:t>
      </w:r>
    </w:p>
    <w:p>
      <w:r>
        <w:t>Das kantonale Gericht hat weiter festgestellt, dass der Beschwerdegegner kein eigenes Personal beschäftigt und keine eigenen Geschäftsräumlichkeiten angemietet hat. Dies wiegt allerdings gemäss den vorinstanzlichen Erwägungen nicht schwer, da er einerseits hohe Geschäftsunkosten (Fr. 30'000.- pro Jahr) zu tragen habe, und anderseits die typischen Merkmale einer unselbstständigen Erwerbstätigkeit (Unterordnungsverhältnis; Weisungsgebundenheit) nur wenig ausgeprägt vorliegen würden. Damit sei die Agententätigkeit als selbstständige Erwerbstätigkeit zu qualifizieren.</w:t>
      </w:r>
    </w:p>
    <w:p>
      <w:r>
        <w:rPr>
          <w:b/>
        </w:rPr>
        <w:t>E. 4.3</w:t>
      </w:r>
    </w:p>
    <w:p>
      <w:r>
        <w:t>Wie die beschwerdeführende Ausgleichskasse zutreffend geltend macht, verstösst die vorinstanzliche Qualifikation gegen die in E. 3.2.3 hievor dargelegte Rechtsprechung, wonach bei einem Agenten nur dann von einer selbstständigen Erwerbstätigkeit ausgegangen werden darf, wenn dieser eigene Geschäftsräumlichkeiten benutzt, eigenes Personal beschäftigt und die Geschäftskosten im Wesentlichen selber trägt, wobei diese Elemente kumulativ vorliegen müssen. Nicht abschliessend geprüft zu werden braucht die von der Vorinstanz implizit aufgeworfene Frage, ob an der bisherigen Rechtsprechung in ihrer bisherigen Absolutheit festgehalten werden kann (vgl. aber zu den Voraussetzungen einer Praxisänderung: BGE 141 II 297 E. 5.5.1). Zu diskutieren wäre eine solche Änderung höchstens dann, wenn ein Agent so hohe Geschäftskosten selber zu tragen hätte, dass die von ihm getätigte Investition vergleichbar wäre mit jenen eines Agenten, welcher eigenes Personal beschäftigt und eigene Geschäftsräumlichkeiten benutzt. Die vom Beschwerdegegner zu tragenden Kosten (gemäss vorinstanzlicher Feststellung ca. Fr. 30'000.- pro Jahr, mithin ca. Fr. 2'500.- pro Monat) sind zwar nicht völlig vernachlässigbar, aber dennoch erheblich geringer als die Kosten, welche für eigene Räumlichkeiten und eigenes Personal anfallen würden.</w:t>
      </w:r>
    </w:p>
    <w:p>
      <w:r>
        <w:rPr>
          <w:b/>
        </w:rPr>
        <w:t>E. 4.4</w:t>
      </w:r>
    </w:p>
    <w:p>
      <w:r>
        <w:t>Demnach hat das kantonale Gericht gegen die bundesgerichtliche Rechtsprechung zur sozialversicherungsrechtlichen Qualifikation von Agenten und damit gegen Bundesrecht verstossen, als es die Tätigkeit des Beschwerdegegners als Vermittler von Limousinendienstleistungen als selbstständig anerkannte. Entsprechend ist die Beschwerde der Ausgleichskasse gutzuheissen, der kantonale Gerichtsentscheid aufzuheben und der Einsprachentscheid der Ausgleichskasse vom 11. Dezember 2018 zu bestätigten.</w:t>
      </w:r>
    </w:p>
    <w:p>
      <w:r>
        <w:rPr>
          <w:b/>
        </w:rPr>
        <w:t>E. 5</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