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3/2011 vom 8. Juni 2011</w:t>
      </w:r>
    </w:p>
    <w:p>
      <w:r>
        <w:t>Bundesgericht, 2011-06-08, FR</w:t>
      </w:r>
    </w:p>
    <w:p>
      <w:r>
        <w:rPr>
          <w:b/>
        </w:rPr>
        <w:t xml:space="preserve">Quelle: </w:t>
      </w:r>
      <w:r>
        <w:t>https://mcp.opencaselaw.ch/entscheid/bger_9C_3_2011</w:t>
      </w:r>
    </w:p>
    <w:p>
      <w:r>
        <w:t>FR: TF 9C 3/2011 du 8 juin 2011</w:t>
      </w:r>
    </w:p>
    <w:p>
      <w:r>
        <w:t>IT: TF 9C 3/2011 del 8 giugno 2011</w:t>
      </w:r>
    </w:p>
    <w:p>
      <w:pPr>
        <w:pStyle w:val="Heading2"/>
      </w:pPr>
      <w:r>
        <w:t>Regeste</w:t>
      </w:r>
    </w:p>
    <w:p>
      <w:r>
        <w:t>Assurance-invalidité | Assurance-invalidité</w:t>
      </w:r>
    </w:p>
    <w:p>
      <w:pPr>
        <w:pStyle w:val="Heading2"/>
      </w:pPr>
      <w:r>
        <w:t>Erwägungen</w:t>
      </w:r>
    </w:p>
    <w:p>
      <w:r>
        <w:rPr>
          <w:b/>
        </w:rPr>
        <w:t>E. 1</w:t>
      </w:r>
    </w:p>
    <w:p>
      <w:r>
        <w:t>Les deux recours sont dirigés contre le même jugement, opposent les mêmes parties et concernent le même complexe de faits, de sorte qu'il se justifie de les réunir et de les liquider dans un seul arrêt ( ATF 131 V 59 consid. 1 p. 60, 128 V 192 consid. 1 p. 194, 123 V 214 consid. 1 p. 215).</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Se fondant d'une part sur le rapport du docteur S.________ et d'autre part sur celui des doctoresses E.________ et B.________, les premiers juges ont conclu à l'existence d'une capacité de travail entière de l'assuré dans une activité adaptée à ses limitations fonctionnelles et considéré que les conditions d'une révision au sens de l' art. 17 LPGA étaient remplies. Compte tenu de l'âge de l'assuré, de son éloignement de la vie professionnelle et de l'évolution importante qu'avait connu le domaine du travail de bureau, il s'imposait toutefois de le mettre au bénéfice de mesures d'ordre professionnel et d'une aide au placement.</w:t>
      </w:r>
    </w:p>
    <w:p>
      <w:r>
        <w:rPr>
          <w:b/>
        </w:rPr>
        <w:t>E. 3.2</w:t>
      </w:r>
    </w:p>
    <w:p>
      <w:r>
        <w:t>L'assuré affirme que les premiers juges n'auraient pas dû supprimer sa rente entière de l'assurance-invalidité. Sur le plan formel, il leur reproche d'avoir violé son droit d'être entendu, sous l'angle de l'obligation de motivation, en n'expliquant pas pourquoi ils ont privilégié le rapport du docteur S.________ par rapport aux autres pièces médicales du dossier. Sur le plan matériel, l'instance cantonale aurait procédé à une appréciation arbitraire des preuves et à une constatation des faits manifestement inexacte, manquant notamment de prendre en considération des passages importants des rapports du Centre Y.________ et des doctoresses E.________ et B.________. Cela l'aurait amenée à considérer à tort qu'il y avait eu une amélioration de son état de santé pendant la période déterminante et, par là, à violer l' art. 17 LPGA .</w:t>
      </w:r>
    </w:p>
    <w:p>
      <w:r>
        <w:rPr>
          <w:b/>
        </w:rPr>
        <w:t>E. 3.3</w:t>
      </w:r>
    </w:p>
    <w:p>
      <w:r>
        <w:t>Selon l'OAI, la juridiction cantonale aurait alloué des mesures d'ordre professionnel et une aide au placement sans lui laisser l'occasion de se déterminer et sans examiner les conditions requises, lesquelles n'étaient d'ailleurs pas remplies.</w:t>
      </w:r>
    </w:p>
    <w:p>
      <w:r>
        <w:rPr>
          <w:b/>
        </w:rPr>
        <w:t>E. 4</w:t>
      </w:r>
    </w:p>
    <w:p>
      <w:r>
        <w:t>Dans un grief de nature formelle qu'il convient d'examiner en premier lieu, l'assuré se plaint d'une violation de son droit d'être entendu pour défaut de motivation du jugement cantonal.</w:t>
      </w:r>
    </w:p>
    <w:p>
      <w:r>
        <w:rPr>
          <w:b/>
        </w:rPr>
        <w:t>E. 4.1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w:t>
      </w:r>
    </w:p>
    <w:p>
      <w:r>
        <w:rPr>
          <w:b/>
        </w:rPr>
        <w:t>E. 4.2</w:t>
      </w:r>
    </w:p>
    <w:p>
      <w:r>
        <w:t>Ce grief n'est pas fondé en l'espèce, dans la mesure où la juridiction cantonale a indiqué les motifs qui l'ont conduite à retenir que l'assuré disposait d'une pleine capacité de travail. Celui-ci ne soutient d'ailleurs pas qu'il n'aurait pas été en mesure de discerner la portée de la décision attaquée et de l'attaquer en connaissance de cause. En faisant grief à la juridiction cantonale d'avoir accordé trop d'importance au rapport du Centre Y.________, l'assuré lui reproche en réalité, sous couvert d'une violation du droit d'être entendu, d'avoir fait preuve d'arbitraire dans la constatation des faits et l'appréciation des preuves. Il s'agit là d'un grief qu'il convient d'examiner avec le fond du litige.</w:t>
      </w:r>
    </w:p>
    <w:p>
      <w:r>
        <w:rPr>
          <w:b/>
        </w:rPr>
        <w:t>E. 5.1</w:t>
      </w:r>
    </w:p>
    <w:p>
      <w:r>
        <w:t>En vertu de l' art. 17 LPGA ,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 art. 17 LPGA . La rente peut être révisée non seulement en cas de modification sensible de l'état de santé, mais aussi lorsque celui-ci est resté en soi le même, mais que ses conséquences sur la capacité de gain ont subi un changement important ( ATF 130 V 343 consid. 3.5 p. 349, 113 V 273 consid. 1a p. 275). Une simple appréciation différente d'un état de fait, qui, pour l'essentiel, est demeuré inchangé n'appelle en revanche pas à une révision au sens de l' art. 17 LPGA (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consid. 5 p. 110 ss).</w:t>
      </w:r>
    </w:p>
    <w:p>
      <w:r>
        <w:rPr>
          <w:b/>
        </w:rPr>
        <w:t>E. 6.1</w:t>
      </w:r>
    </w:p>
    <w:p>
      <w:r>
        <w:t>La décision litigieuse et l'arrêt attaqué ne permettent pas de déterminer sur quels faits objectifs l'OAI, puis les premiers juges, se sont fondés pour considérer que l'état de santé de l'assuré avait évolué de manière favorable. L'instance cantonale n'a pas procédé à une comparaison des circonstances prévalant aux moments déterminants - à savoir juin 2003 et mars 2008; dans les faits, elle s'est bornée à constater, d'une part, que l'expert du Centre Y.________ concluait à une capacité de travail entière et, d'autre part, que les doctoresses E.________ et B.________ estimaient qu'un travail de bureau était adapté.</w:t>
      </w:r>
    </w:p>
    <w:p>
      <w:r>
        <w:rPr>
          <w:b/>
        </w:rPr>
        <w:t>E. 6.2.1</w:t>
      </w:r>
    </w:p>
    <w:p>
      <w:r>
        <w:t>Les motifs qui ont initialement amené l'administration à considérer que l'assuré devait être mis au bénéfice d'une rente entière de l'assurance-invalidité ressortent du rapport des docteurs D.________ et F.________ du 25 mars 2003. Pour ces médecins, la chronicisation de la douleur du poignet droit et du membre supérieur droit avait entraîné une immobilisation qui elle-même pouvait provoquer des rétractations tissulaires et une augmentation subséquente des symptômes. Ceux-ci étaient partiellement expliqués par une atteinte somatique et par une atteinte psychiatrique, comme en témoignaient les diagnostics de troubles somatoformes persistants, d'épisodes dépressifs moyens et de troubles mentaux et du comportement liés à l'utilisation de l'alcool. Ces éléments, ainsi que l'impact de la douleur sur le sommeil, la thymie et la concentration, limitaient de façon majeure la capacité de travail.</w:t>
      </w:r>
    </w:p>
    <w:p>
      <w:r>
        <w:rPr>
          <w:b/>
        </w:rPr>
        <w:t>E. 6.2.2</w:t>
      </w:r>
    </w:p>
    <w:p>
      <w:r>
        <w:t>Dans leur rapport du 29 décembre 2008, les doctoresses E.________ et B.________ ont conclu à un syndrome douloureux chronique dans le contexte d'une pérennisation des douleurs du poignet du membre supérieur droit d'origine post-traumatique. Quant au docteur S.________, il a estimé, dans son rapport du 6 décembre 2007, que les symptômes physiques étaient plus subjectifs qu'objectifs. La discordance d'appréciation entre son observation et celle faite en 2003 provenait du fait que le rapport établi à l'époque était particulièrement succinct et mal documenté au niveau du statut mental en particulier. Il n'y avait aucune analyse du fonctionnement de personnalité, qui était l'élément crucial dans cette situation. En tous les cas, l'état psychique de l'assuré s'était clairement amélioré depuis lors. S'il n'y avait pas d'arguments pour une symptomatologie dépressive en rapport avec un état dépressif majeur, il existait quelques symptômes émotionnels qui pouvaient probablement être mis en rapport avec un éthylisme chronique.</w:t>
      </w:r>
    </w:p>
    <w:p>
      <w:r>
        <w:rPr>
          <w:b/>
        </w:rPr>
        <w:t>E. 6.2.3</w:t>
      </w:r>
    </w:p>
    <w:p>
      <w:r>
        <w:t>Il apparaît ainsi que les douleurs de l'assuré n'ont pas évolué entre le moment de l'octroi de la rente initiale et celui de la décision de révision, les expertes de l'Hôpital X.________ faisant au contraire état d'une pérennisation de celles-ci. L'assuré souffre toujours d'un trouble somatoforme, d'une symptomatologie dépressive et de troubles de la personnalité. Dans ces conditions, il y a lieu de constater que son état de santé ne s'est pas modifié de manière notable, ce que du reste confirment les docteurs J.________ et R.________, ainsi que les spécialistes de l'atelier de réadaptation préprofessionnelle de l'Hôpital X.________, qui ont conclu à une incapacité de travail totale. Certes, le docteur S.________ a indiqué que l'état psychique de l'assuré s'était amélioré. Il n'a toutefois fait état d'aucun élément concret venant étayer cette affirmation. En s'en prenant à la méthodologie utilisée par les docteurs D.________ et F.________ et à leur appréciation divergente quant à la capacité de travail, il a exprimé une opinion différente qui, en soi, n'est pas un motif de révision au sens de l' art. 17 LPGA .</w:t>
      </w:r>
    </w:p>
    <w:p>
      <w:r>
        <w:rPr>
          <w:b/>
        </w:rPr>
        <w:t>E. 7</w:t>
      </w:r>
    </w:p>
    <w:p>
      <w:r>
        <w:t>Dans ces conditions, le recours de l'OAI devient sans objet dès lors que le maintien d'une rente entière de l'assurance-invalidité conduit à l'annulation du jugement attaqué, rendant ainsi superflu l'examen de l'octroi de mesures d'ordre professionnel et d'une aide au placement.</w:t>
      </w:r>
    </w:p>
    <w:p>
      <w:r>
        <w:rPr>
          <w:b/>
        </w:rPr>
        <w:t>E. 8</w:t>
      </w:r>
    </w:p>
    <w:p>
      <w:r>
        <w:t>Vu l'issue du litige, les frais judiciaires sont mis à la charge de l'OAI (art. 66 al. 1 première phrase LTF) qui versera à l'assuré une indemnité de dépens ( art. 68 LTF ). La requête d'assistance judiciaire déposée par l'assuré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