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9C_39/2022 vom 24. März 2022</w:t>
      </w:r>
    </w:p>
    <w:p>
      <w:r>
        <w:t>Bundesgericht, 2022-03-24, DE</w:t>
      </w:r>
    </w:p>
    <w:p>
      <w:r>
        <w:rPr>
          <w:b/>
        </w:rPr>
        <w:t xml:space="preserve">Quelle: </w:t>
      </w:r>
      <w:r>
        <w:t>https://mcp.opencaselaw.ch/entscheid/bger_9C_39_2022</w:t>
      </w:r>
    </w:p>
    <w:p>
      <w:r>
        <w:t>FR: TF 9C_39/2022 du 24 mars 2022</w:t>
      </w:r>
    </w:p>
    <w:p>
      <w:r>
        <w:t>IT: TF 9C_39/2022 del 24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dem Beschwerdeführer für die Zeit ab 1. August 2020 keine höhere als eine Dreiviertelsrente der Invalidenversicherung zusprach.</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3.3</w:t>
      </w:r>
    </w:p>
    <w:p>
      <w:r>
        <w:t>Konnte die versicherte Person wegen der Invalidität keine zureichenden beruflichen Kenntnisse erwerben, so entspricht das Erwerbseinkommen, das sie als Nichtinvalide erzielen könnte, gemäss Art. 26 Abs. 1 IVV nach Vollendung von 30 Altersjahren 100 % des jährlich aktualisierten Medianwertes gemäss der Lohnstrukturerhebung des Bundesamtes für Statistik.</w:t>
      </w:r>
    </w:p>
    <w:p>
      <w:r>
        <w:rPr>
          <w:b/>
        </w:rPr>
        <w:t>E. 3.4</w:t>
      </w:r>
    </w:p>
    <w:p>
      <w:r>
        <w:t>Die Rente wird von Amtes wegen oder auf Gesuch hin für die Zukunft entsprechend erhöht, herabgesetzt oder aufgehoben ( Art. 17 Abs. 1 ATSG ; Art. 88a IVV ), wenn sich der Invaliditätsgrad eines Rentenbezügers erheblich ändert (vgl. auch BGE 134 V 131 E. 3). Nach der Rechtsprechung sind diese Revisionsbestimmungen bei der rückwirkenden Zusprechung einer abgestuften oder befristeten Rente analog anwendbar ( BGE 133 V 263 E. 6.1 mit Hinweisen).</w:t>
      </w:r>
    </w:p>
    <w:p>
      <w:r>
        <w:rPr>
          <w:b/>
        </w:rPr>
        <w:t>E. 4.1</w:t>
      </w:r>
    </w:p>
    <w:p>
      <w:r>
        <w:t>Es steht fest und ist unbestritten, dass sich der Gesundheitszustand des Versicherten seit der letzten rentenablehnenden Verfügung (6. Februar 2017) erheblich verschlechtert hat und er in der Zeit von Juni 2019 bis April 2020 vollständig erwerbsunfähig war. Weiter steht fest, dass sich der Gesundheitszustand per Mai 2020 wieder verbessert hat, so dass er nunmehr medizinisch-theoretisch wieder in der Lage ist, eine seinem Leiden angepasste Tätigkeit zu 50 % auszuüben. Umstritten sind demgegenüber die erwerblichen Auswirkungen seiner verbliebenen gesundheitlichen Einschränkungen.</w:t>
      </w:r>
    </w:p>
    <w:p>
      <w:r>
        <w:rPr>
          <w:b/>
        </w:rPr>
        <w:t>E. 4.2</w:t>
      </w:r>
    </w:p>
    <w:p>
      <w:r>
        <w:t>Der Beschwerdeführer bringt vor, die ihm verbleibende medizinisch-theoretische Arbeitsfähigkeit sei auch auf dem ausgeglichenen Arbeitsmarkt nicht verwertbar. Beim ausgeglichenen Arbeitsmarkt handelt es sich um eine theoretische Grösse, so dass eine Unverwertbarkeit der verbliebenen Leistungsfähigkeit nicht leichthin angenommen werden kann. An der Massgeblichkeit dieses ausgeglichenen Arbeitsmarkts vermag auch der Umstand nichts zu ändern, dass es für die versicherte Person im Einzelfall schwierig oder gar unmöglich ist, auf dem tatsächlichen Arbeitsmarkt eine entsprechende Stelle zu finden (vgl. Urteile 9C_141/2021 vom 8. Juli 2021 E. 5.1 und 8C_321/2018 vom 27. November 2018 E. 5.3 mit weiteren Hinweisen). Gemäss den verbindlichen vorinstanzlichen Feststellungen kann der Versicherte seinen (nicht dominanten) linken Arm nicht einsetzen; zudem ist auch die Feinmotorik seiner dominanten rechten Hand eingeschränkt. Wie die Vorinstanz zutreffend erwogen hat, bietet der theoretische ausgeglichene Arbeitsmarkt auch für Personen mit einem solchen Tätigkeitsprofil ausreichende realistische Beschäftigungsmöglichkeiten. Zu denken ist etwa an die Bedienung und Überwachung von automatischen Maschinen und Produktionseinheiten, die mit keinerlei körperlicher Anstrengung verbunden sind (vgl. auch Urteile 9C_520/2021 vom 22. Dezember 2021 E. 4.3 und 8C_442/2019 vom 20. Juli 2019 E. 4.2). Somit hat die Vorinstanz kein Bundesrecht verletzt, als sie die Verwertbarkeit der verbliebenen medizinisch-theoretischen Arbeitsfähigkeit bejahte.</w:t>
      </w:r>
    </w:p>
    <w:p>
      <w:r>
        <w:rPr>
          <w:b/>
        </w:rPr>
        <w:t>E. 4.3</w:t>
      </w:r>
    </w:p>
    <w:p>
      <w:r>
        <w:t>Das kantonale Gericht ermittelte das Invalideneinkommen des Versicherten aufgrund der Tabellenlöhne der Schweizerischen Lohnstrukturerhebung (LSE), wobei sie vom Tabellenlohn einen Abzug im Sinne von BGE 129 V 472 in der Höhe von 25 % vornahm. Dabei ging sie vom Tabellenlohn des gesamten Privatsektors aus. Was der Beschwerdeführer hiegegen vorbringt, vermag die vorinstanzliche Bemessung des Invalideneinkommens nicht als bundesrechtswidrig erscheinen lassen. Insbesondere legt er nicht dar, inwiefern die Feststellung des kantonalen Gerichts, wonach für den Versicherten grundsätzlich auch produktionsnahe Tätigkeiten in Betracht fallen, offensichtlich unrichtig wäre. Die erwähnte "Bedienung und Überwachung von automatischen Maschinen und Produktionseinheiten, die mit keinerlei körperlicher Anstrengung verbunden sind" (vgl. E. 4.2 hievor) ist denn auch eine Tätigkeit in der Produktion, und nicht im Dienstleistungssektor.</w:t>
      </w:r>
    </w:p>
    <w:p>
      <w:r>
        <w:rPr>
          <w:b/>
        </w:rPr>
        <w:t>E. 4.4</w:t>
      </w:r>
    </w:p>
    <w:p>
      <w:r>
        <w:t>Weiter rügt der Beschwerdeführer, die IV-Stelle habe das Valideneinkommen zu Unrecht nicht nach Art. 26 Abs. 1 IVV (vgl. E. 3.3 hiervor) bemessen. Wie das kantonale Gericht indessen überzeugend dargelegt hat, würde sich bei einer Bemessung des Valideneinkommens in Anwendung dieser Norm ein Invaliditätsgrad von 69 % ergeben, was ebenfalls zu einem Anspruch auf eine Dreiviertelsrente der Invalidenversicherung führen würde. Somit erweist sich die Frage, ob der Versicherte wegen der Invalidität keine hinreichenden beruflichen Kenntnisse erlangen konnte, als für den Ausgang des Verfahrens nicht relevant. Entsprechend hat das kantonale Gericht die Rechte des Beschwerdeführers nicht verletzt, als es auf Weiterungen zu dieser Frage verzichtete (vgl. auch BGE 135 V 465 E. 5.1, wonach nur über für den Ausgang des Verfahrens erhebliche Tatsachen Beweis zu führen ist).</w:t>
      </w:r>
    </w:p>
    <w:p>
      <w:r>
        <w:rPr>
          <w:b/>
        </w:rPr>
        <w:t>E. 4.5</w:t>
      </w:r>
    </w:p>
    <w:p>
      <w:r>
        <w:t>Zusammenfassend hat das kantonale Gericht kein Bundesrecht verletzt, als es für die Zeit ab August 2020 den Anspruch des Beschwerdeführers auf eine höhere als auf eine Dreiviertelsrente verneinte. Entsprechend ist die Beschwerde des Versicherten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