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399/2011 vom 11. Juli 2011</w:t>
      </w:r>
    </w:p>
    <w:p>
      <w:r>
        <w:t>Bundesgericht, 2011-07-11, DE</w:t>
      </w:r>
    </w:p>
    <w:p>
      <w:r>
        <w:rPr>
          <w:b/>
        </w:rPr>
        <w:t xml:space="preserve">Quelle: </w:t>
      </w:r>
      <w:r>
        <w:t>https://mcp.opencaselaw.ch/entscheid/bger_9C_399_2011</w:t>
      </w:r>
    </w:p>
    <w:p>
      <w:r>
        <w:t>FR: TF 9C 399/2011 du 11 juillet 2011</w:t>
      </w:r>
    </w:p>
    <w:p>
      <w:r>
        <w:t>IT: TF 9C 399/2011 del 11 luglio 2011</w:t>
      </w:r>
    </w:p>
    <w:p>
      <w:pPr>
        <w:pStyle w:val="Heading2"/>
      </w:pPr>
      <w:r>
        <w:t>Regeste</w:t>
      </w:r>
    </w:p>
    <w:p>
      <w:r>
        <w:t>Invalidenversicherung (Invalidenrente, Invalideneinkommen) | Invalidenversicherung</w:t>
      </w:r>
    </w:p>
    <w:p>
      <w:pPr>
        <w:pStyle w:val="Heading2"/>
      </w:pPr>
      <w:r>
        <w:t>Erwägungen</w:t>
      </w:r>
    </w:p>
    <w:p>
      <w:r>
        <w:rPr>
          <w:b/>
        </w:rPr>
        <w:t>E. 1.1</w:t>
      </w:r>
    </w:p>
    <w:p>
      <w:r>
        <w:t>Das kantonale Gericht hat gestützt auf die Berichte der Dres. med. R.________ und H.________ vom 23. März resp. 15. April 2010 festgestellt, der Versicherte sei in einer angepassten, auf dem allgemeinen Arbeitsmarkt verfügbaren Tätigkeit zu 50 % arbeitsfähig. Ferner hat es die IV-Stelle zu weiteren Abklärungen über das Valideneinkommen verhalten und in Bezug auf das Invalideneinkommen zur Vornahme eines leidensbedingten Abzugs vom Tabellenlohn in Höhe von 20 % verpflichtet. Die Beschwerde führende IV-Stelle rügt einzig, ein Abzug vom Tabellenlohn gemäss BGE 126 V 75 sei nicht gerechtfertigt, jedenfalls nicht in der festgesetzten Höhe.</w:t>
      </w:r>
    </w:p>
    <w:p>
      <w:r>
        <w:rPr>
          <w:b/>
        </w:rPr>
        <w:t>E. 1.2</w:t>
      </w:r>
    </w:p>
    <w:p>
      <w:r>
        <w:t>Der als Zwischenentscheid im Sinne des Art. 93 Abs. 1 BGG zu qualifizierende Rückweisungsentscheid ( BGE 133 V 477 E. 4.2 S. 481 f.) kann laut der genannten Bestimmung nur angefochten werden,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1.3</w:t>
      </w:r>
    </w:p>
    <w:p>
      <w:r>
        <w:t>Die Gutheissung der Beschwerde könnte keinen Endentscheid herbeiführen. Hingegen ist die Beschwerdeführerin durch den angefochtenen - und nach ihrer Auffassung rechtswidrigen - Entscheid hinsichtlich der Invaliditätsbemessung an die Vorgaben der Vorinstanz gebunden. In dieser Konstellation ist ein nicht wieder gutzumachender Nachteil zu bejahen und auf die Beschwerde einzutreten ( BGE 133 V 477 E. 5.2 S. 483 ff.).</w:t>
      </w:r>
    </w:p>
    <w:p>
      <w:r>
        <w:rPr>
          <w:b/>
        </w:rPr>
        <w:t>E. 2.1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(vgl. LSE 94 S. 51)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soll aber nicht automatisch erfolgen. Er ist unter Würdigung der Umstände im Einzelfall nach pflichtgemässem Ermessen gesamthaft zu schätzen und darf 25 % nicht übersteigen ( BGE 126 V 75 E. 5b/bb-cc S. 80; 134 V 322 E. 5.2 S. 327 f.; Urteil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9C_708/2009 E. 2.1.1 mit Hinweisen).</w:t>
      </w:r>
    </w:p>
    <w:p>
      <w:r>
        <w:rPr>
          <w:b/>
        </w:rPr>
        <w:t>E. 2.3</w:t>
      </w:r>
    </w:p>
    <w:p>
      <w:r>
        <w:t>Ob ein (behinderungsbedingt oder anderweitig begründeter) Abzug vom Tabellenlohn vorzunehmen ist, stellt eine vom Bundesgericht frei überprüfbare Rechtsfrage dar (Urteil 8C_652/2008 vom 8. Mai 2009 E. 4 in fine, nicht publiziert in: BGE 135 V 297 ). Die Frage nach der Höhe des (im konkreten Fall grundsätzlich angezeigten) Abzuges vom Tabellenlohn dagegen ist eine Ermessensfrage. Deren Beantwortung ist letztinstanzlicher Korrektur nur mehr dort zugänglich, wo das kantonale Gericht das Ermessen rechtsfehlerhaft ausgeübt hat, also bei Ermessensüberschreitung, -missbrauch oder -unterschreitung (vgl. zu diesen Rechtsbegriffen Urteil I 793/06 vom 4. Oktober 2007 E. 2.3, in: Plädoyer, 2008/1 S. 69; BGE 132 V 393 E. 3.3 S. 399; Urteil 9C_368/2009 vom 17. Juli 2009 E. 2.1).</w:t>
      </w:r>
    </w:p>
    <w:p>
      <w:r>
        <w:rPr>
          <w:b/>
        </w:rPr>
        <w:t>E. 3.1</w:t>
      </w:r>
    </w:p>
    <w:p>
      <w:r>
        <w:t>Die Vorinstanz hat für die Festsetzung des Abzugs lediglich auf die Vernehmlassung der IV-Stelle vom 7. Mai 2010 und die "vorliegenden Umstände" verwiesen. Diesbezüglich steht fest, dass der Versicherte bloss zu 50 % arbeitsfähig ist (E. 1.1 und 2.1). Die Einschätzungen der Dres. med. R.________ und H.________ können nicht in dem Sinn verstanden werden, dass eine Vollzeittätigkeit, wenn auch bei gesundheitlich bedingt eingeschränkter Leistungsfähigkeit, zumutbar wäre. Die Frage nach einer Änderung der Rechtsprechung gemäss Urteil I 69/07 vom 2. November 2007 E. 5, wonach dieser Faktor beim leidensbedingten Abzug nicht zu berücksichtigen ist (vgl. aber SVR 2010 IV Nr. 28 S. 87, 9C_708/2009 E. 2.5.2), stellt sich demnach im konkreten Fall nicht. Der reduzierte Beschäftigungsgrad rechtfertigt einen Abzug vom Tabellenlohn (E. 2.2).</w:t>
      </w:r>
    </w:p>
    <w:p>
      <w:r>
        <w:rPr>
          <w:b/>
        </w:rPr>
        <w:t>E. 3.2</w:t>
      </w:r>
    </w:p>
    <w:p>
      <w:r>
        <w:t>Gemäss der beim Bundesamt für Statistik erhältlichen Tabelle T der Lohnstrukturerhebung 2008 (Bruttolohn nach Beschäftigungsgrad, Anforderungsniveau des Arbeitsplatzes und Geschlecht) erzielten in diesem Jahr Männer in einfachen und repetitiven Tätigkeiten (Anforderungsniveau 4) bei einem Arbeitspensum zwischen 50 und 74 % aufgerechnet auf ein Vollzeitpensum durchschnittlich ein um 10,25 % tieferes Einkommen als Vollzeitbeschäftigte; bei einem Arbeitspensum zwischen 25 und 49 % betrug die Einbusse gar 17,62 % (für 2006 vgl. Urteil 9C_643/2010 vom 27. Dezember 2010 E. 3.4).</w:t>
      </w:r>
    </w:p>
    <w:p>
      <w:r>
        <w:rPr>
          <w:b/>
        </w:rPr>
        <w:t>E. 3.3</w:t>
      </w:r>
    </w:p>
    <w:p>
      <w:r>
        <w:t>Laut Dr. med. H.________ ist in Bezug auf eine angepasste (teilzeitliche) Tätigkeit darauf zu achten, dass "nicht zu viele emotional belastende zwischenmenschliche Kontakte stattfinden, auch keine unregelmässige Arbeit oder Nachtarbeit und möglichst keine Stressspitzen". Ob auch aufgrund dieser Anforderungen ein Abzug zu gewähren ist, ist fraglich (vgl. aber für Einschränkungen im Rahmen körperlich leichter Hilfsarbeitertätigkeiten BGE 126 V 75 E. 5a/bb S. 78). Weitere abzugsbegründende Merkmale (E. 2.2) sind nicht ersichtlich. Unter den gegebenen Umständen erscheint die Höhe des Abzuges zwar an der oberen Grenze des Vertretbaren, von einer rechtsfehlerhaften Ermessensausübung kann indessen nicht gesprochen werden.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