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9C_398/2024 vom 10. September 2024</w:t>
      </w:r>
    </w:p>
    <w:p>
      <w:r>
        <w:t>Bundesgericht, 2024-09-10, FR</w:t>
      </w:r>
    </w:p>
    <w:p>
      <w:r>
        <w:rPr>
          <w:b/>
        </w:rPr>
        <w:t xml:space="preserve">Quelle: </w:t>
      </w:r>
      <w:r>
        <w:t>https://mcp.opencaselaw.ch/entscheid/bger_9C_398_2024</w:t>
      </w:r>
    </w:p>
    <w:p>
      <w:r>
        <w:t>FR: TF 9C_398/2024 du 10 septembre 2024</w:t>
      </w:r>
    </w:p>
    <w:p>
      <w:r>
        <w:t>IT: TF 9C_398/2024 del 10 settembre 2024</w:t>
      </w:r>
    </w:p>
    <w:p>
      <w:pPr>
        <w:pStyle w:val="Heading2"/>
      </w:pPr>
      <w:r>
        <w:t>Volltext</w:t>
      </w:r>
    </w:p>
    <w:p>
      <w:r>
        <w:t>Bundesgericht</w:t>
      </w:r>
    </w:p>
    <w:p>
      <w:r>
        <w:t>Tribunal fédéral</w:t>
      </w:r>
    </w:p>
    <w:p>
      <w:r>
        <w:t>Tribunale federale</w:t>
      </w:r>
    </w:p>
    <w:p>
      <w:r>
        <w:t>Tribunal federal</w:t>
      </w:r>
    </w:p>
    <w:p>
      <w:r>
        <w:t>9C_398/2024</w:t>
      </w:r>
    </w:p>
    <w:p>
      <w:r>
        <w:t>Arrêt du 10 septembre 2024</w:t>
      </w:r>
    </w:p>
    <w:p>
      <w:r>
        <w:t>IIIe Cour de droit public</w:t>
      </w:r>
    </w:p>
    <w:p>
      <w:r>
        <w:t>Composition</w:t>
      </w:r>
    </w:p>
    <w:p>
      <w:r>
        <w:t>M. le Juge fédéral Parrino, Président.</w:t>
      </w:r>
    </w:p>
    <w:p>
      <w:r>
        <w:t>Greffier : M. Bürgisser.</w:t>
      </w:r>
    </w:p>
    <w:p>
      <w:r>
        <w:t>Participants à la procédure</w:t>
      </w:r>
    </w:p>
    <w:p>
      <w:r>
        <w:t>A.________,</w:t>
      </w:r>
    </w:p>
    <w:p>
      <w:r>
        <w:t>recourant,</w:t>
      </w:r>
    </w:p>
    <w:p>
      <w:r>
        <w:t>contre</w:t>
      </w:r>
    </w:p>
    <w:p>
      <w:r>
        <w:t>Service de la taxe d'exemption de l'obligation de servir, Rue du Stand 26, 1204 Genève,</w:t>
      </w:r>
    </w:p>
    <w:p>
      <w:r>
        <w:t>intimé.</w:t>
      </w:r>
    </w:p>
    <w:p>
      <w:r>
        <w:t>Objet</w:t>
      </w:r>
    </w:p>
    <w:p>
      <w:r>
        <w:t>Taxe d'exemption de l'obligation de servir, périodes fiscales 2019 et 2020 (condition de recevabilité),</w:t>
      </w:r>
    </w:p>
    <w:p>
      <w:r>
        <w:t>recours contre l'arrêt de la Cour de justice de la République et canton de Genève du 25 juin 2024 (A/1164/2024 - ATA/769/2024).</w:t>
      </w:r>
    </w:p>
    <w:p>
      <w:r>
        <w:t>Vu :</w:t>
      </w:r>
    </w:p>
    <w:p>
      <w:r>
        <w:t>le recours du 15 juillet 2024 (timbre postal) contre l'arrêt de la Cour de justice de la République et canton de Genève, Chambre administrative (ci-après: la Cour de justice), du 25 juin 2024,</w:t>
      </w:r>
    </w:p>
    <w:p>
      <w:r>
        <w:t>l'ordonnance du 19 juillet 2024, par laquelle le Tribunal fédéral a informé A.________ qu'il avait la possibilité de remédier avant l'échéance du délai de recours aux irrégularités que son écriture semblait présenter (motifs et conclusions),</w:t>
      </w:r>
    </w:p>
    <w:p>
      <w:r>
        <w:t>l'écriture de l'intéressé du 22 juillet 2024 (timbre postal),</w:t>
      </w:r>
    </w:p>
    <w:p>
      <w:r>
        <w:t>considérant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le Tribunal fédéral ne connaît par ailleurs de la violation des droits fondamentaux que si ce moyen est invoqué et motivé par la partie recourante ( art. 106 al. 2 LTF ), c'est-à-dire s'il a été expressément soulevé et exposé de manière claire et détaillée ( ATF 148 I 127 consid. 4.3; 143 IV 500 consid. 1.1),</w:t>
      </w:r>
    </w:p>
    <w:p>
      <w:r>
        <w:t>qu'en substance, la Cour de justice a considéré que le recourant n'avait pas accompli son obligation militaire sous forme de prestation personnelle en 2019 et 2020, de sorte qu'il restait tenu au paiement de la taxe d'exemption de servir pour ces années,</w:t>
      </w:r>
    </w:p>
    <w:p>
      <w:r>
        <w:t>que le recourant invoque avant tout une discrimination liée à l'âge fondée sur les art. 8 et 14 CEDH et allègue avoir entrepris les démarches nécessaires pour être recruté en se référant à "plusieurs échanges téléphoniques" afin, notamment, qu'on lui explique "comment procéder pour remplir une demande d'admission à l'école de recrues",</w:t>
      </w:r>
    </w:p>
    <w:p>
      <w:r>
        <w:t>que, ce faisant, il ne démontre pas que et en quoi la juridiction cantonale aurait violé le droit fédéral au sens de l' art. 95 let. a LTF ou constaté les faits de façon manifestement inexacte (ou arbitraire, cf. ATF 134 V 53 consid. 4.3) au sens de l' art. 97 al. 1 LTF ,</w:t>
      </w:r>
    </w:p>
    <w:p>
      <w:r>
        <w:t>que, par ailleurs, la motivation de son recours relative à la violation des art. 8 et 14 CEDH ne respecte pas les exigences de motivation accrue prescrites par l' art. 106 al. 2 LTF ,</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et à la Cour de justice de la République et canton de Genève, Chambre administrative.</w:t>
      </w:r>
    </w:p>
    <w:p>
      <w:r>
        <w:t>Lucerne, le 10 septembre 2024</w:t>
      </w:r>
    </w:p>
    <w:p>
      <w:r>
        <w:t>Au nom de la IIIe Cour de droit public</w:t>
      </w:r>
    </w:p>
    <w:p>
      <w:r>
        <w:t>du Tribunal fédéral suisse</w:t>
      </w:r>
    </w:p>
    <w:p>
      <w:r>
        <w:t>Le Président : Parrino</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