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398/2011 vom 23. Februar 2012</w:t>
      </w:r>
    </w:p>
    <w:p>
      <w:r>
        <w:t>Bundesgericht, 2012-02-23, FR</w:t>
      </w:r>
    </w:p>
    <w:p>
      <w:r>
        <w:rPr>
          <w:b/>
        </w:rPr>
        <w:t xml:space="preserve">Quelle: </w:t>
      </w:r>
      <w:r>
        <w:t>https://mcp.opencaselaw.ch/entscheid/bger_9C_398_2011</w:t>
      </w:r>
    </w:p>
    <w:p>
      <w:r>
        <w:t>FR: TF 9C 398/2011 du 23 février 2012</w:t>
      </w:r>
    </w:p>
    <w:p>
      <w:r>
        <w:t>IT: TF 9C 398/2011 del 23 febbraio 2012</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du recourant à une rente d'invalidité pendant la période soumise à l'examen du juge, qui s'achève avec la décision administrative du 12 novembre 2007. A cet égard, la juridiction cantonale a dûment exposé les dispositions légales et les principes jurisprudentiels sur la notion d'invalidité et son évaluation, ainsi que sur le principe de la libre appréciation des preuves applicables en l'espèce. Il suffit de renvoyer à son jugement.</w:t>
      </w:r>
    </w:p>
    <w:p>
      <w:r>
        <w:rPr>
          <w:b/>
        </w:rPr>
        <w:t>E. 3.1</w:t>
      </w:r>
    </w:p>
    <w:p>
      <w:r>
        <w:t>En instance cantonale, le Juge cantonal chargé de l'instruction de la cause a, entre autres mesures d'instruction, mandaté le docteur V.________ pour une expertise "afin de clarifier la nature et l'intensité de l'atteinte à sa sphère psychique présentée par l'assuré B.________ et les répercussions de celle-ci sur l'exercice d'une activité raisonnablement exigible" (mission d'expertise du 18 février 2009). Une fois que le psychiatre a rendu son rapport (le 13 juillet 2009), le Juge cantonal a considéré que le ton employé par l'expert n'était guère adéquat et pouvait donner le sentiment d'un parti pris, de sorte qu'une seconde expertise devait être ordonnée (courrier aux parties du 23 septembre 2009). Celle-ci a été confiée à la doctoresse R.________, qui, dans son rapport du 19 janvier 2010, est arrivée à des conclusions totalement opposées à celles du docteur V.________ quant à l'existence d'une atteinte psychique et ses effets sur la capacité de travail de l'assuré.</w:t>
      </w:r>
    </w:p>
    <w:p>
      <w:r>
        <w:rPr>
          <w:b/>
        </w:rPr>
        <w:t>E. 3.2</w:t>
      </w:r>
    </w:p>
    <w:p>
      <w:r>
        <w:t>Dans le jugement entrepris, la juridiction cantonale a d'abord constaté que le recourant disposait d'une pleine capacité de travail résiduelle dans une activité adaptée (soit légère et ne nécessitant pas de mouvements au-dessus de la ligne des épaules) du point de vue strictement somatique. Examinant ensuite si l'assuré souffrait d'une atteinte à la santé psychique qui limiterait cette capacité de travail, les premiers juges ont considéré que les deux expertises judiciaires qu'ils avaient ordonnées prêtaient le flanc à la critique. Le rapport du docteur V.________ comprenait des observations orientées et se caractérisait par le ton cassant et les jugements de valeur exprimés par son auteur, ce qui nécessitait de le "prendre avec beaucoup de prudence". L'appréciation de la doctoresse R.________ avait été rédigée de manière beaucoup plus rigoureuse et systématique et revêtait indéniablement une valeur probante supérieure. L'expertise du 19 janvier 2010 suscitait cependant quelques interrogations quant à la manière dont la psychiatre avait repris, sans les mettre en doute dans la discussion, les allégations de l'assuré relatives à la gravité de l'accident dont il avait été victime - lequel ne pouvait être qualifié d'impressionnant, ni n'avait provoqué de danger pour la vie de l'assuré au regard des premières déclarations de celui-ci -, ainsi qu'à l'absence de contrôle du respect par l'intéressé du traitement médicamenteux. Selon l'autorité cantonale de recours, il n'y avait toutefois pas lieu de tirer de conclusions définitives relatives aux diagnostics posés par la doctoresse R.________ et à l'incapacité de travail qu'elle attestait. En effet, à supposé que l'on reconnût une pleine valeur probante aux constatations de la psychiatre sur l'existence d'une incapacité de travail (due essentiellement à la gravité du trouble dépressif qu'elle avait diagnostiqué chez l'assuré) depuis fin 2006 dans toute activité, ces conclusions ne permettaient pas de retenir une incapacité de travail antérieurement au mois de décembre 2006. Si en avril 2005, le docteur S.________, spécialiste FMH en psychiatrie et en psychothérapie qui s'était prononcé à la demande de la CNA, avait fait état de "quelques signes dépressifs modérés" n'entraînant aucune incapacité de travail, il n'était pas exclu que le recourant eût ensuite progressivement subi une péjoration de son état de santé psychique, au point de présenter effectivement, dès le mois de décembre 2006, un épisode dépressif sévère avec des répercussions sur sa capacité de travail, comme l'avait attesté la doctoresse R.________. En tout état de cause, de l'avis des premiers juges, les pièces au dossier ne permettaient pas de tenir pour établi, au degré de la vraisemblance prépondérante, que le recourant avait présenté, à la date de la décision litigieuse (du 12 novembre 2007), une incapacité de gain durable de 40 % au moins ou une incapacité de travail de 40 % au moins, en moyenne, pendant une année sans interruption notable, de sorte qu'il n'avait pas droit à une rente.</w:t>
      </w:r>
    </w:p>
    <w:p>
      <w:r>
        <w:rPr>
          <w:b/>
        </w:rPr>
        <w:t>E. 4.1</w:t>
      </w:r>
    </w:p>
    <w:p>
      <w:r>
        <w:t>Reprochant aux premiers juges d'avoir adopté un comportement contradictoire en violation des art. 5 al. 3 et 9 Cst. , le recourant leur fait grief d'avoir admis, sur la base des conclusions de la doctoresse R.________, qu'il présentait une incapacité de travail significative à partir du mois de décembre 2006 seulement, alors qu'ils avaient précisément renoncé à tirer de l'expertise du 19 janvier 2010 des conclusions définitives. Selon lui, dès lors que la juridiction cantonale considérait que ni l'appréciation de l'experte, ni celle du docteur V.________ n'avaient de valeur probante, elle était tenue d'ordonner une nouvelle expertise et ne pouvait pas, malgré son raisonnement qu'il qualifie de "virtuose", renoncer à une telle mesure d'instruction.</w:t>
      </w:r>
    </w:p>
    <w:p>
      <w:r>
        <w:rPr>
          <w:b/>
        </w:rPr>
        <w:t>E. 4.2</w:t>
      </w:r>
    </w:p>
    <w:p>
      <w:r>
        <w:t>En vertu de l' art. 61 let .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(cf. ATF 125 V 193 consid. 2 p. 195). Toutefois, le tribunal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 Saisi d'un recours en matière de droit public, le Tribunal fédéral ne peut, en principe, revoir le résultat de l'appréciation anticipée des preuves - et en conclure à une violation de la maxime inquisitoire - , qu'en cas d'inexactitude manifeste (art. 97 al. 1 et 105 al. 1 et 2 LTF; cf. également MEYER in : M. A. Niggli, P. Uebersax, H. Wiprächtiger [édit.], Bundesgerichtsgesetz, Bâle 2008, n. 34a, 60 et note 170 ad art. 105).</w:t>
      </w:r>
    </w:p>
    <w:p>
      <w:r>
        <w:rPr>
          <w:b/>
        </w:rPr>
        <w:t>E. 4.3</w:t>
      </w:r>
    </w:p>
    <w:p>
      <w:r>
        <w:t>Les considérations du jugement attaqué relèvent d'une violation du principe inquisitoire. Les premiers juges n'ont pas pris clairement position par rapport à la valeur probante de chacune des expertises judiciaires, en indiquant si elles étaient à leurs yeux propres à servir de preuve. Il ressort cependant de leurs considérations que les deux évaluations psychiatriques n'étaient pas aptes selon eux à prouver les faits déterminants (l'expertise du docteur V.________ devait être prise avec beaucoup de prudence et n'était pas convaincante sur la conclusion relative à l'absence de trouble dépressif majeur; aucunes conclusions définitives sur les diagnostics posés par l'experte et l'incapacité de travail attestée ne devaient être tirées). Dans une telle situation, dès lors qu'aucune des deux pièces médicales en cause n'avait force probante pour les motifs indiqués (lesquels apparaissent, au demeurant, tout à fait convaincants), les faits pertinents qu'elles étaient censées éclaircir - soit le point de savoir si l'assuré souffrait, pendant la période soumise à l'examen du juge, d'atteinte(s) psychique(s) et, le cas échéant, quels étaient les effets de celle(s)-ci sur la capacité de travail résiduelle - n'étaient (toujours) pas établis à satisfaction de droit. Aussi, faute de disposer de documents médicaux permettant de porter un jugement valable sur l'état de santé du recourant sous l'angle psychiatrique, l'autorité cantonale de recours ne pouvait pas tenir pour démontré que le recourant ne présentait pas, au 12 novembre 2007, une incapacité de travail de 40 % au moins, en moyenne, pendant une année sans interruption notable. Pour constater une telle absence d'incapacité de travail jusqu'à la date déterminante pour l'examen judiciaire, elle n'était pas en droit de se fonder sur l'expertise de la doctoresse R.________ - ne serait-ce que pour élaborer un raisonnement hypothétique -, dont elle ne reconnaissait précisément pas la valeur probante, une telle manière de procéder contrevenant au principe de la libre appréciation des preuves (cf. ATF 125 V 351 consid. 3a p. 352 et les arrêts cités). Dans ces circonstances, la juridiction cantonale aurait été tenue d'ordonner une surexpertise (psychiatrique), et la renonciation à cette mesure d'instruction constituait une violation du devoir du juge d'établir les faits d'office.</w:t>
      </w:r>
    </w:p>
    <w:p>
      <w:r>
        <w:rPr>
          <w:b/>
        </w:rPr>
        <w:t>E. 4.4</w:t>
      </w:r>
    </w:p>
    <w:p>
      <w:r>
        <w:t>En conséquence de ce qui précède, il convient d'annuler le jugement entrepris et de renvoyer la cause à la juridiction cantonale pour qu'elle complète l'instruction en ordonnant une surexpertise, puis rende une nouvelle décision. Les conclusions du recourant, dans la mesure où elles tendent au renvoi de la cause au Tribunal cantonal vaudois pour instruction complémentaire, sont dès lors bien fondées, sans qu'il soit nécessaire d'examiner ses autres griefs.</w:t>
      </w:r>
    </w:p>
    <w:p>
      <w:r>
        <w:rPr>
          <w:b/>
        </w:rPr>
        <w:t>E. 5</w:t>
      </w:r>
    </w:p>
    <w:p>
      <w:r>
        <w:t>Vu l'issue du litige, les frais de justice doivent être supportés par l'intimé qui succombe ( art. 66 al. 1 LTF ). Le recourant a par ailleurs droit à une indemnité de dépens à la charge de l'intimé, de sorte que sa demande d'assistance judiciaire est sans objet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