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9C_397/2022 vom 8. September 2022</w:t>
      </w:r>
    </w:p>
    <w:p>
      <w:r>
        <w:t>Bundesgericht, 2022-09-08, DE</w:t>
      </w:r>
    </w:p>
    <w:p>
      <w:r>
        <w:rPr>
          <w:b/>
        </w:rPr>
        <w:t xml:space="preserve">Quelle: </w:t>
      </w:r>
      <w:r>
        <w:t>https://mcp.opencaselaw.ch/entscheid/bger_9C_397_2022</w:t>
      </w:r>
    </w:p>
    <w:p>
      <w:r>
        <w:t>FR: TF 9C_397/2022 du 8 septembre 2022</w:t>
      </w:r>
    </w:p>
    <w:p>
      <w:r>
        <w:t>IT: TF 9C_397/2022 del 8 settembre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9C_397/2022</w:t>
      </w:r>
    </w:p>
    <w:p>
      <w:r>
        <w:t>Urteil vom 8. September 2022</w:t>
      </w:r>
    </w:p>
    <w:p>
      <w:r>
        <w:t>II. sozialrechtliche Abteilung</w:t>
      </w:r>
    </w:p>
    <w:p>
      <w:r>
        <w:t>Besetzung</w:t>
      </w:r>
    </w:p>
    <w:p>
      <w:r>
        <w:t>Bundesrichter Parrino, Präsident,</w:t>
      </w:r>
    </w:p>
    <w:p>
      <w:r>
        <w:t>Gerichtsschreiberin Nünlist.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Ausgleichskasse des Kantons Zürich, Röntgenstrasse 17, 8005 Zürich,</w:t>
      </w:r>
    </w:p>
    <w:p>
      <w:r>
        <w:t>Beschwerdegegnerin.</w:t>
      </w:r>
    </w:p>
    <w:p>
      <w:r>
        <w:t>Gegenstand</w:t>
      </w:r>
    </w:p>
    <w:p>
      <w:r>
        <w:t>Alters- und Hinterlassenenversicherung,</w:t>
      </w:r>
    </w:p>
    <w:p>
      <w:r>
        <w:t>Beschwerde gegen das Urteil des Sozialversicherungsgerichts des Kantons Zürich vom 17. Mai 2022 (AK.2021.00021).</w:t>
      </w:r>
    </w:p>
    <w:p>
      <w:r>
        <w:t>Nach Einsicht</w:t>
      </w:r>
    </w:p>
    <w:p>
      <w:r>
        <w:t>in die Beschwerde datiert vom 26. August 2022 (Eingang: 31. August 2022) gegen das Urteil des Sozialversicherungsgerichts des Kantons Zürich vom 17. Mai 2022,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auch von Beschwerde führenden Laien erwartet werden darf, auf die vorinstanzliche Begründung konkret einzugehen,</w:t>
      </w:r>
    </w:p>
    <w:p>
      <w:r>
        <w:t>dass die Eingabe des Beschwerdeführers diesen inhaltlichen Mindestanforderungen nicht genügt, da der Beschwerdeführer insbesondere nicht näher darlegt, welche Vorschriften die Vorinstanz mit ihrem Urteil konkret verletzt haben soll,</w:t>
      </w:r>
    </w:p>
    <w:p>
      <w:r>
        <w:t>dass sich die Vorbringen - soweit überhaupt entscheidrelevant - vielmehr im Wesentlichen in unzulässiger, rein appellatorischer Kritik am angefochtenen Entscheid (vgl. BGE 144 V 50 E. 4.2 mit Hinweisen) erschöpfen, bei welcher der Beschwerdeführer sich darauf beschränkt, seine eigene Sichtweise wiederzugeben, und dabei nicht auf die entscheidwesentlichen Erwägungen des kantonalen Gerichts Bezug nimmt,</w:t>
      </w:r>
    </w:p>
    <w:p>
      <w:r>
        <w:t>dass an der unzureichenden Begründung die der Eingabe beigelegten Unterlagen, soweit es sich dabei nicht ohnehin um unzulässige Noven im Sinne von Art. 99 Abs. 1 BGG handelt, nichts zu ändern vermögen,</w:t>
      </w:r>
    </w:p>
    <w:p>
      <w:r>
        <w:t>dass deshalb im vereinfachten Verfahren nach Art. 108 Abs. 1 lit. b und Abs. 2 BGG auf die Beschwerde nicht einzutreten ist,</w:t>
      </w:r>
    </w:p>
    <w:p>
      <w:r>
        <w:t>dass der Versicherte grundsätzlich kostenpflichtig ist, indessen in Anwendung von Art. 66 Abs. 1 Satz 2 BGG umständehalber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8. September 2022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Parrino</w:t>
      </w:r>
    </w:p>
    <w:p>
      <w:r>
        <w:t>Die Gerichtsschreiberin: Nünlist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