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9C_396/2024 vom 29. August 2024</w:t>
      </w:r>
    </w:p>
    <w:p>
      <w:r>
        <w:t>Bundesgericht, 2024-08-29, DE</w:t>
      </w:r>
    </w:p>
    <w:p>
      <w:r>
        <w:rPr>
          <w:b/>
        </w:rPr>
        <w:t xml:space="preserve">Quelle: </w:t>
      </w:r>
      <w:r>
        <w:t>https://mcp.opencaselaw.ch/entscheid/bger_9C_396_2024</w:t>
      </w:r>
    </w:p>
    <w:p>
      <w:r>
        <w:t>FR: TF 9C_396/2024 du 29 août 2024</w:t>
      </w:r>
    </w:p>
    <w:p>
      <w:r>
        <w:t>IT: TF 9C_396/2024 del 29 agosto 2024</w:t>
      </w:r>
    </w:p>
    <w:p>
      <w:pPr>
        <w:pStyle w:val="Heading2"/>
      </w:pPr>
      <w:r>
        <w:t>Erwägungen</w:t>
      </w:r>
    </w:p>
    <w:p>
      <w:r>
        <w:rPr>
          <w:b/>
        </w:rPr>
        <w:t>E. 1</w:t>
      </w:r>
    </w:p>
    <w:p>
      <w:r>
        <w:t>Das Verwaltungsgericht des Kantons Bern bestätigte mit Urteil vom 17. Juni 2024 einen Entscheid der Steuerrekurskommission des Kantons Bern, mit dem das steuerbare Einkommen von A.________ auf Fr. 53'400.- (Kantons- und Gemeindesteuer) resp. Fr. 64'710.- (direkte Bundessteuer) bestimmt sowie Gebühren von Fr. 70.- (Fr. 60.- Mahngebühren, Fr. 10.- Gebühren für eine Fristverlängerung) erhoben wurden. Gegen dieses Urteil führt A.________ Beschwerde in öffentlich-rechtlichen Angelegenheiten.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3.1</w:t>
      </w:r>
    </w:p>
    <w:p>
      <w:r>
        <w:t>Die Beschwerdeführerin bezieht sich in ihrer Beschwerdeschrift unter anderem auf die Entscheide der kantonalen Steuerverwaltung und der kantonalen Steuerrekurskommission. Anfechtungsobjekt vor Bundesgericht ist jedoch vorliegend ausschliesslich das Urteil des Verwaltungsgerichts ( Art. 86 Abs. 1 lit. d BGG ). In Bezug auf das vorinstanzliche Urteil erhebt die Beschwerdeführerin lediglich pauschale appellatorische Kritik (es basiere auf missbräuchlichen, widerrechtlichen Grundlagen, fokussiere lediglich auf das Steuerjahr 2020 und behandle nicht die verschwundenen, von ihr einbezahlten Steuergelder); das Urteil sei zu korrigieren.</w:t>
      </w:r>
    </w:p>
    <w:p>
      <w:r>
        <w:rPr>
          <w:b/>
        </w:rPr>
        <w:t>E. 3.2</w:t>
      </w:r>
    </w:p>
    <w:p>
      <w:r>
        <w:t>Die Beschwerdeführerin stellt weder einen nachvollziehbaren Antrag, noch befasst sie sich mit den vorinstanzlichen Erwägungen oder zeigt auf, inwiefern das kantonale Gericht Bundesrecht verletzt haben sollte. Sie macht zwar geltend, ein Straftatbestand (Unterschlagung von Steuergeldern) sei rechtswidrig nicht berücksichtigt worden, ohne jedoch dazu nähere Angaben zu machen. Die Beschwerde genügt daher den Begründungsanforderungen von Art. 42 Abs. 2 BGG nicht. Aufgrund der Aussichtslosigkeit der Beschwerde wird das Sistierungsgesuch gegenstandslos.</w:t>
      </w:r>
    </w:p>
    <w:p>
      <w:r>
        <w:rPr>
          <w:b/>
        </w:rPr>
        <w:t>E. 4</w:t>
      </w:r>
    </w:p>
    <w:p>
      <w:r>
        <w:t>Auf die Beschwerde ist mangels einer tauglichen Begründung im Verfahren nach Art. 108 Abs. 1 lit. b BGG nicht einzutreten. Die unterliegende Beschwerdeführerin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