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9C_395/2022 vom 4. November 2022</w:t>
      </w:r>
    </w:p>
    <w:p>
      <w:r>
        <w:t>Bundesgericht, 2022-11-04, DE</w:t>
      </w:r>
    </w:p>
    <w:p>
      <w:r>
        <w:rPr>
          <w:b/>
        </w:rPr>
        <w:t xml:space="preserve">Quelle: </w:t>
      </w:r>
      <w:r>
        <w:t>https://mcp.opencaselaw.ch/entscheid/bger_9C_395_2022</w:t>
      </w:r>
    </w:p>
    <w:p>
      <w:r>
        <w:t>FR: TF 9C_395/2022 du 4 novembre 2022</w:t>
      </w:r>
    </w:p>
    <w:p>
      <w:r>
        <w:t>IT: TF 9C_395/2022 del 4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Der Rentenanspruch ist abgestuft: Bei einem Invaliditätsgrad von mindestens 40 % resp. 50 %, 60 % oder 70 % besteht Anspruch auf eine Viertelsrente resp. halbe Rente, Dreiviertelsrente oder ganze Rente ( Art. 28 Abs. 2 IVG in der bis zum 31. Dezember 2021 geltenden und hier anwendbaren Fassung; vgl. BGE 144 V 210 E. 4.3.1).</w:t>
      </w:r>
    </w:p>
    <w:p>
      <w:r>
        <w:t>Für die Bestimmung des Invaliditätsgrades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Abs. 1 Satz 1 IVG ).</w:t>
      </w:r>
    </w:p>
    <w:p>
      <w:r>
        <w:rPr>
          <w:b/>
        </w:rPr>
        <w:t>E. 3</w:t>
      </w:r>
    </w:p>
    <w:p>
      <w:r>
        <w:t>Das kantonale Gericht hat gestützt auf das Gutachten der medexperts vom 15. April 2021 festgestellt, dass die Beschwerdeführerin in angepasster Tätigkeit zu 60 % arbeitsfähig sei. Es hat den 1. Februar 2018 als frühest möglichen Rentenbeginn betrachtet und bezogen auf diesen Zeitpunkt den Invaliditätsgrad bemessen. Das Valideneinkommen hat es auf Fr. 51'341.- (Tätigkeit als Näherin/Schneiderin) resp. auf maximal Fr. 53'381.- (entsprechend einem Vollzeitpensum als Verkäuferin bei einer Tankstelle) festgelegt. Für das Invalideneinkommen hat es einen Tabellenlohn der Lohnstrukturerhebung des Bundesamtes für Statistik (LSE) herangezogen (LSE 2018, Tabelle TA1, Kompetenzniveau 1, Total Frauen). Unter Berücksichtigung der betriebsüblichen Wochenarbeitszeit und des zumutbaren Pensums, aber ohne einen Tabellenlohnabzug zu gewähren, hat es ein Invalideneinkommen von Fr. 32'809.- festgestellt. Beim resultierenden Invaliditätsgrad von höchstens 39 % hat es einen Rentenanspruch verneint.</w:t>
      </w:r>
    </w:p>
    <w:p>
      <w:r>
        <w:rPr>
          <w:b/>
        </w:rPr>
        <w:t>E. 4.1</w:t>
      </w:r>
    </w:p>
    <w:p>
      <w:r>
        <w:t>Die Beschwerdeführerin kritisiert, dass die Vorinstanz den Einkommensvergleich nicht als Prozentvergleich vorgenommen hat. Dabei würde ohne Weiteres ein Invaliditätsgrad von 40 % und somit ein Anspruch auf eine Viertelsrente resultieren. Wenn es aber bei der Bezifferung der Vergleichseinkommen bleibe, so hätte die Vorinstanz für das Invalideneinkommen nicht auf einen Tabellenlohn abstellen dürfen, sondern die konkreten Einkommensverhältnisse berücksichtigen müssen. Jedenfalls sei aber aufgrund der Anforderungen an eine zumutbare Tätigkeit ein (leidensbedingter) Abzug vom Tabellenlohn angezeigt.</w:t>
      </w:r>
    </w:p>
    <w:p>
      <w:r>
        <w:rPr>
          <w:b/>
        </w:rPr>
        <w:t>E. 4.2</w:t>
      </w:r>
    </w:p>
    <w:p>
      <w:r>
        <w:t>Der Einkommensvergleich ( Art. 16 ATSG )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vgl. auch Urteil 8C_213/2022 vom 4. August 2022 E. 4.6.1).</w:t>
      </w:r>
    </w:p>
    <w:p>
      <w:r>
        <w:t>Weshalb in concreto keine ziffernmässige Ermittlung der Vergleichseinkommen möglich gewesen sein soll, ist nicht ersichtlich und wird auch nicht dargelegt. Die Vorinstanz hat kein Recht verletzt, indem sie keinen Prozentvergleich vorgenommen hat.</w:t>
      </w:r>
    </w:p>
    <w:p>
      <w:r>
        <w:rPr>
          <w:b/>
        </w:rPr>
        <w:t>E. 4.3</w:t>
      </w:r>
    </w:p>
    <w:p>
      <w:r>
        <w:t>Bei der Ermittlung des Einkommens, daseine versicherte Personerzielen könnte, wäre sie nicht invalid geworden (Valideneinkommen),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SVR 2022 UV Nr. 4 S. 12, 8C_134/2021 E. 3.2).</w:t>
      </w:r>
    </w:p>
    <w:p>
      <w:r>
        <w:t>Das kantonale Gericht hat offengelassen, ob für das Valideneinkommen an die am 1. April 2014 aufgenommene und "aktuelle" Tätigkeit als Verkäuferin bei einer Tankstelle oder aber an die frühere, bis im Jahr 2006 ausgeübte Tätigkeit als Näherin/Schneiderin anzuknüpfen sei. Ob das Valideneinkommen in maximaler Höhe von Fr. 53'381.- (Verkäuferin) oder in Höhe von Fr. 51'341.- (Näherin/Schneiderin) berücksichtigt wird, spielt (auch) für den Ausgang dieses Verfahrens keine Rolle (vgl. nachfolgende E. 4.5.3).</w:t>
      </w:r>
    </w:p>
    <w:p>
      <w:r>
        <w:rPr>
          <w:b/>
        </w:rPr>
        <w:t>E. 4.4</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Tabellenlöhne der LSE herangezogen werden ( BGE 148 V 174 E. 6.2; 143 V 295 E. 2.2; 135 V 297 E. 5.2).</w:t>
      </w:r>
    </w:p>
    <w:p>
      <w:r>
        <w:t>Die Vorinstanz hat auf die in den Jahren 2017, 2018 und 2019 erzielten Jahreseinkommen verwiesen und festgestellt, die Beschwerdeführerin habe ihre Restarbeitsfähigkeit nicht voll ausgeschöpft. Diese Feststellung bleibt unbestritten und für das Bundesgericht verbindlich (vgl. vorangehende E. 1). Damit ist das Heranziehen von Tabellenlöhnen der LSE zur Feststellung des Invalideneinkommens bundesrechtskonform.</w:t>
      </w:r>
    </w:p>
    <w:p>
      <w:r>
        <w:rPr>
          <w:b/>
        </w:rPr>
        <w:t>E. 4.5.1</w:t>
      </w:r>
    </w:p>
    <w:p>
      <w:r>
        <w:t>Zu prüfen bleibtein leidensbedingter Abzug vom Tabellenlohn (zur Qualifikation als Rechtsfrage vgl. BGE 148 V 174 E. 6.5; 146 V 16 E. 4.2), dessen "überragende Bedeutung als Korrekturinstrument bei der Festsetzung eines möglichst konkreten Invalideneinkommens" das Bundesgericht in BGE 148 V 174 E. 9.2.2 und 9.2.3 betonte.</w:t>
      </w:r>
    </w:p>
    <w:p>
      <w:r>
        <w:rPr>
          <w:b/>
        </w:rPr>
        <w:t>E. 4.5.2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rPr>
          <w:b/>
        </w:rPr>
        <w:t>E. 4.5.3</w:t>
      </w:r>
    </w:p>
    <w:p>
      <w:r>
        <w:t>Das kantonale Gericht hat mit Blick auf die sprachlichen Schwierigkeiten, die Nationalität und das Alter der Beschwerdeführerin keinen Anlass für einen Abzug erkannt. Darauf ist nicht weiter einzugehen. Indessen hat es bei der Frage nach einem Abzug vom Tabellenlohn der Art und dem Ausmass der Behinderung keine Rechnung getragen. Diesbezüglich lässt sich dem als beweiskräftig qualifizierten medexperts-Gutachten Folgendes entnehmen: Das Heben/Tragen von Gewichten über 10 kg sollte vermieden werden. Das Heben/Tragen sollte grundsätzlich nur fallweise gefordert sein mit anschliessend ausreichender Ruhezeit. Ausserdem sollten alle Arbeiten mit verschiedenen Zwangshaltungen, mit Bücken unter Tischkantenniveau, im Knien oder in Hockestellung, mit Überwindung von Niveauunterschieden (z.B. Treppensteigen), mit Höhenexposition (z.B. auf Leitern und Gerüsten) und Überkopfarbeiten vermieden werden. Stehend/gehend auszuübende Tätigkeiten sind eingeschränkt möglich. Zumutbar sind leichte, wechselbelastende Tätigkeiten mit der Möglichkeit zu vermehrten Ruhepausen. Damit steht fest, dass die Beschwerdeführerin selbst im Rahmen körperlich leichter Hilfsarbeitertätigkeit in ihrer Leistungsfähigkeit (quantitativ zu 40 %) eingeschränkt ist. Dem ist rechtsprechungsgemäss (vgl. vorangehende E. 4.5.2) mit einem (leidensbedingten) Abzug Rechnung zu tragen. Die Vorinstanz hat Recht verletzt, indem sie keinen solchen gewährt hat. Die darauf beruhende Feststellung des Invalideneinkommens ist nicht verbindlich.</w:t>
      </w:r>
    </w:p>
    <w:p>
      <w:r>
        <w:t>Der Abzug ist auf mindestens 10 % festzulegen, wodurch sich das Invalideneinkommen auf (höchstens) Fr. 29'528.- reduziert. Daraus resultiert im Vergleich zum Valideneinkommen von Fr. 53'381.- resp. Fr. 51'341.- (vgl. vorangehende E. 4.3) ein Invaliditätsgrad von (gerundet) 45 % resp. 42 %. Folglich hat die Beschwerdeführerin Anspruch auf eine Viertelsrente ab dem 1. Februar 2018. Die Beschwerde ist begründet.</w:t>
      </w:r>
    </w:p>
    <w:p>
      <w:r>
        <w:rPr>
          <w:b/>
        </w:rPr>
        <w:t>E. 5.1</w:t>
      </w:r>
    </w:p>
    <w:p>
      <w:r>
        <w:t>Dem Ausgang des Verfahrens entsprechend hat die Beschwerdegegnerin die Gerichtskosten zu tragen ( Art. 66 Abs. 1 BGG ) und der Beschwerdeführerin eine Parteientschädigung zu entrichten ( Art. 68 Abs. 2 BGG ).</w:t>
      </w:r>
    </w:p>
    <w:p>
      <w:r>
        <w:rPr>
          <w:b/>
        </w:rPr>
        <w:t>E. 5.2</w:t>
      </w:r>
    </w:p>
    <w:p>
      <w:r>
        <w:t>Die Sache ist zur Neuverlegung der Kosten und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